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…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Responsable de l'UE : Etienne FERRAN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etienne.ferran@univ-reunion.fr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Anne Catherine Marlot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Anne-Catherine.Marlot@univ-reunion.fr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Hugues Petit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hugues.petit@univ-reunion.fr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Thibaut Francois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Thibaut.Francois@ac-reunion.fr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Fanny Sekkaki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fanny.sekkaki@univ-reunion.fr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Une UE de 2h CM + 13h TD sera proposée en M1.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étudiants seront entrainés aux compétences orales et écrites du niveau B (de B1+ à B2) sur des thématiques de spécialité propres à chaque parcours.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Une évaluation se fera en fin d’UE et portera sur les compétences écrites et/ ou orales, niveau B2.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 cours de leur cursus universitaire en licence, les étudiants ont suivi et validé des UE en LVE. L’objectif est de consolider les acquis et d’arriver à un niveau de maitrise de la LVE afin de faire face aux situations professionnelles requises.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but est de valider un niveau de compétence B2 exigé pour la pratique du métier d’enseignant ou d’éducateur.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comprendre le contenu essentiel de sujets concrets ou abstraits dans un texte complexe, y compris une discussion technique dans sa spécialité. 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communiquer avec un degré de spontanéité et d'aisance tel qu'une conversation avec un locuteur natif ne comportant de tension ni pour l'un ni pour l'autre. 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s'exprimer de façon claire et détaillée sur une grande gamme de sujets, émettre un avis sur un sujet d’actualité et exposer les avantages et les inconvénients de différentes possibilités.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