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57.0" w:type="dxa"/>
        <w:jc w:val="left"/>
        <w:tblInd w:w="70.0" w:type="pct"/>
        <w:tblLayout w:type="fixed"/>
        <w:tblLook w:val="0600"/>
      </w:tblPr>
      <w:tblGrid>
        <w:gridCol w:w="2127"/>
        <w:gridCol w:w="1000"/>
        <w:gridCol w:w="1322"/>
        <w:gridCol w:w="1326"/>
        <w:gridCol w:w="37"/>
        <w:gridCol w:w="1285"/>
        <w:gridCol w:w="1325"/>
        <w:gridCol w:w="1322"/>
        <w:gridCol w:w="1313"/>
        <w:tblGridChange w:id="0">
          <w:tblGrid>
            <w:gridCol w:w="2127"/>
            <w:gridCol w:w="1000"/>
            <w:gridCol w:w="1322"/>
            <w:gridCol w:w="1326"/>
            <w:gridCol w:w="37"/>
            <w:gridCol w:w="1285"/>
            <w:gridCol w:w="1325"/>
            <w:gridCol w:w="1322"/>
            <w:gridCol w:w="1313"/>
          </w:tblGrid>
        </w:tblGridChange>
      </w:tblGrid>
      <w:tr>
        <w:trPr>
          <w:trHeight w:val="380" w:hRule="atLeast"/>
        </w:trPr>
        <w:tc>
          <w:tcPr>
            <w:gridSpan w:val="9"/>
            <w:tcBorders>
              <w:top w:color="000000" w:space="0" w:sz="12" w:val="single"/>
              <w:left w:color="000000" w:space="0" w:sz="12" w:val="single"/>
              <w:bottom w:color="000000" w:space="0" w:sz="12" w:val="single"/>
              <w:right w:color="000000" w:space="0" w:sz="12" w:val="single"/>
            </w:tcBorders>
            <w:shd w:fill="e7e6e6" w:val="clear"/>
            <w:vAlign w:val="bottom"/>
          </w:tcPr>
          <w:p w:rsidR="00000000" w:rsidDel="00000000" w:rsidP="00000000" w:rsidRDefault="00000000" w:rsidRPr="00000000" w14:paraId="00000002">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IDENTIFICATION UE : Module noyau TC 1 Sous U.E E4</w:t>
            </w:r>
          </w:p>
        </w:tc>
      </w:tr>
      <w:tr>
        <w:trPr>
          <w:trHeight w:val="300" w:hRule="atLeast"/>
        </w:trPr>
        <w:tc>
          <w:tcPr>
            <w:gridSpan w:val="7"/>
            <w:tcBorders>
              <w:top w:color="000000" w:space="0" w:sz="0" w:val="nil"/>
              <w:left w:color="000000" w:space="0" w:sz="12" w:val="single"/>
              <w:bottom w:color="000000" w:space="0" w:sz="4" w:val="single"/>
              <w:right w:color="000000" w:space="0" w:sz="4" w:val="single"/>
            </w:tcBorders>
            <w:shd w:fill="auto" w:val="clear"/>
            <w:vAlign w:val="center"/>
          </w:tcPr>
          <w:p w:rsidR="00000000" w:rsidDel="00000000" w:rsidP="00000000" w:rsidRDefault="00000000" w:rsidRPr="00000000" w14:paraId="0000000B">
            <w:pPr>
              <w:spacing w:after="0" w:line="240" w:lineRule="auto"/>
              <w:rPr>
                <w:color w:val="000000"/>
              </w:rPr>
            </w:pPr>
            <w:r w:rsidDel="00000000" w:rsidR="00000000" w:rsidRPr="00000000">
              <w:rPr>
                <w:color w:val="000000"/>
                <w:rtl w:val="0"/>
              </w:rPr>
              <w:t xml:space="preserve">Intitulé :</w:t>
            </w:r>
            <w:r w:rsidDel="00000000" w:rsidR="00000000" w:rsidRPr="00000000">
              <w:rPr>
                <w:rtl w:val="0"/>
              </w:rPr>
              <w:t xml:space="preserve"> CLIMAT SCOLAIRE </w:t>
            </w:r>
            <w:r w:rsidDel="00000000" w:rsidR="00000000" w:rsidRPr="00000000">
              <w:rPr>
                <w:rtl w:val="0"/>
              </w:rPr>
            </w:r>
          </w:p>
          <w:p w:rsidR="00000000" w:rsidDel="00000000" w:rsidP="00000000" w:rsidRDefault="00000000" w:rsidRPr="00000000" w14:paraId="0000000C">
            <w:pPr>
              <w:spacing w:after="0" w:line="240" w:lineRule="auto"/>
              <w:rPr>
                <w:color w:val="000000"/>
              </w:rPr>
            </w:pPr>
            <w:r w:rsidDel="00000000" w:rsidR="00000000" w:rsidRPr="00000000">
              <w:rPr>
                <w:color w:val="000000"/>
                <w:rtl w:val="0"/>
              </w:rPr>
              <w:t xml:space="preserve">E4 - Organiser et assurer le mode de fonctionnement du groupe favorisant l'apprentissage et la socialisation des élèves</w:t>
            </w:r>
          </w:p>
        </w:tc>
        <w:tc>
          <w:tcPr>
            <w:gridSpan w:val="2"/>
            <w:tcBorders>
              <w:top w:color="000000" w:space="0" w:sz="0" w:val="nil"/>
              <w:left w:color="000000" w:space="0" w:sz="4" w:val="single"/>
              <w:bottom w:color="000000" w:space="0" w:sz="4" w:val="single"/>
              <w:right w:color="000000" w:space="0" w:sz="12" w:val="single"/>
            </w:tcBorders>
            <w:shd w:fill="auto" w:val="clear"/>
            <w:vAlign w:val="center"/>
          </w:tcPr>
          <w:p w:rsidR="00000000" w:rsidDel="00000000" w:rsidP="00000000" w:rsidRDefault="00000000" w:rsidRPr="00000000" w14:paraId="00000013">
            <w:pPr>
              <w:spacing w:after="0" w:line="240" w:lineRule="auto"/>
              <w:rPr>
                <w:color w:val="000000"/>
              </w:rPr>
            </w:pPr>
            <w:r w:rsidDel="00000000" w:rsidR="00000000" w:rsidRPr="00000000">
              <w:rPr>
                <w:color w:val="000000"/>
                <w:rtl w:val="0"/>
              </w:rPr>
              <w:t xml:space="preserve">Code : X4TC2CSC</w:t>
            </w:r>
          </w:p>
          <w:p w:rsidR="00000000" w:rsidDel="00000000" w:rsidP="00000000" w:rsidRDefault="00000000" w:rsidRPr="00000000" w14:paraId="00000014">
            <w:pPr>
              <w:spacing w:after="0" w:line="240" w:lineRule="auto"/>
              <w:rPr>
                <w:color w:val="000000"/>
              </w:rPr>
            </w:pPr>
            <w:r w:rsidDel="00000000" w:rsidR="00000000" w:rsidRPr="00000000">
              <w:rPr>
                <w:rtl w:val="0"/>
              </w:rPr>
            </w:r>
          </w:p>
        </w:tc>
      </w:tr>
      <w:tr>
        <w:trPr>
          <w:trHeight w:val="280" w:hRule="atLeast"/>
        </w:trPr>
        <w:tc>
          <w:tcPr>
            <w:gridSpan w:val="2"/>
            <w:tcBorders>
              <w:top w:color="000000" w:space="0" w:sz="0" w:val="nil"/>
              <w:left w:color="000000" w:space="0" w:sz="12" w:val="single"/>
              <w:bottom w:color="000000" w:space="0" w:sz="0" w:val="nil"/>
              <w:right w:color="000000" w:space="0" w:sz="4" w:val="single"/>
            </w:tcBorders>
            <w:shd w:fill="auto" w:val="clear"/>
            <w:vAlign w:val="center"/>
          </w:tcPr>
          <w:p w:rsidR="00000000" w:rsidDel="00000000" w:rsidP="00000000" w:rsidRDefault="00000000" w:rsidRPr="00000000" w14:paraId="00000016">
            <w:pPr>
              <w:spacing w:after="0" w:line="240" w:lineRule="auto"/>
              <w:rPr>
                <w:color w:val="000000"/>
              </w:rPr>
            </w:pPr>
            <w:r w:rsidDel="00000000" w:rsidR="00000000" w:rsidRPr="00000000">
              <w:rPr>
                <w:color w:val="000000"/>
                <w:rtl w:val="0"/>
              </w:rPr>
              <w:t xml:space="preserve">Volume horaire :</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18">
            <w:pPr>
              <w:spacing w:after="0" w:line="240" w:lineRule="auto"/>
              <w:jc w:val="right"/>
              <w:rPr>
                <w:color w:val="000000"/>
              </w:rPr>
            </w:pPr>
            <w:r w:rsidDel="00000000" w:rsidR="00000000" w:rsidRPr="00000000">
              <w:rPr>
                <w:color w:val="000000"/>
                <w:rtl w:val="0"/>
              </w:rPr>
              <w:t xml:space="preserve">8h CM</w:t>
            </w:r>
          </w:p>
        </w:tc>
        <w:tc>
          <w:tcPr>
            <w:gridSpan w:val="2"/>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19">
            <w:pPr>
              <w:spacing w:after="0" w:line="240" w:lineRule="auto"/>
              <w:jc w:val="center"/>
              <w:rPr>
                <w:color w:val="000000"/>
              </w:rPr>
            </w:pPr>
            <w:r w:rsidDel="00000000" w:rsidR="00000000" w:rsidRPr="00000000">
              <w:rPr>
                <w:color w:val="000000"/>
                <w:rtl w:val="0"/>
              </w:rPr>
              <w:t xml:space="preserve">4h TD</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B">
            <w:pPr>
              <w:spacing w:after="0" w:line="240" w:lineRule="auto"/>
              <w:jc w:val="right"/>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C">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12" w:val="single"/>
            </w:tcBorders>
            <w:shd w:fill="auto" w:val="clear"/>
            <w:vAlign w:val="center"/>
          </w:tcPr>
          <w:p w:rsidR="00000000" w:rsidDel="00000000" w:rsidP="00000000" w:rsidRDefault="00000000" w:rsidRPr="00000000" w14:paraId="0000001D">
            <w:pPr>
              <w:spacing w:after="0" w:line="240" w:lineRule="auto"/>
              <w:rPr>
                <w:color w:val="000000"/>
              </w:rPr>
            </w:pPr>
            <w:r w:rsidDel="00000000" w:rsidR="00000000" w:rsidRPr="00000000">
              <w:rPr>
                <w:color w:val="000000"/>
                <w:rtl w:val="0"/>
              </w:rPr>
              <w:t xml:space="preserve">ECTS : 1</w:t>
            </w:r>
          </w:p>
        </w:tc>
      </w:tr>
      <w:tr>
        <w:trPr>
          <w:trHeight w:val="280" w:hRule="atLeast"/>
        </w:trPr>
        <w:tc>
          <w:tcPr>
            <w:gridSpan w:val="5"/>
            <w:tcBorders>
              <w:top w:color="000000" w:space="0" w:sz="4" w:val="single"/>
              <w:left w:color="000000" w:space="0" w:sz="12" w:val="single"/>
              <w:bottom w:color="000000" w:space="0" w:sz="4" w:val="single"/>
              <w:right w:color="000000" w:space="0" w:sz="4" w:val="single"/>
            </w:tcBorders>
            <w:shd w:fill="auto" w:val="clear"/>
            <w:vAlign w:val="bottom"/>
          </w:tcPr>
          <w:p w:rsidR="00000000" w:rsidDel="00000000" w:rsidP="00000000" w:rsidRDefault="00000000" w:rsidRPr="00000000" w14:paraId="0000001F">
            <w:pPr>
              <w:spacing w:after="0" w:line="240" w:lineRule="auto"/>
              <w:rPr>
                <w:color w:val="000000"/>
              </w:rPr>
            </w:pPr>
            <w:r w:rsidDel="00000000" w:rsidR="00000000" w:rsidRPr="00000000">
              <w:rPr>
                <w:color w:val="000000"/>
                <w:rtl w:val="0"/>
              </w:rPr>
              <w:t xml:space="preserve">Responsable de l'UE : L. PELLETIER</w:t>
            </w:r>
          </w:p>
        </w:tc>
        <w:tc>
          <w:tcPr>
            <w:gridSpan w:val="4"/>
            <w:tcBorders>
              <w:top w:color="000000" w:space="0" w:sz="4" w:val="single"/>
              <w:left w:color="000000" w:space="0" w:sz="0" w:val="nil"/>
              <w:bottom w:color="000000" w:space="0" w:sz="4" w:val="single"/>
              <w:right w:color="000000" w:space="0" w:sz="12" w:val="single"/>
            </w:tcBorders>
            <w:shd w:fill="auto" w:val="clear"/>
            <w:vAlign w:val="bottom"/>
          </w:tcPr>
          <w:p w:rsidR="00000000" w:rsidDel="00000000" w:rsidP="00000000" w:rsidRDefault="00000000" w:rsidRPr="00000000" w14:paraId="00000024">
            <w:pPr>
              <w:spacing w:after="0" w:line="240" w:lineRule="auto"/>
              <w:rPr/>
            </w:pPr>
            <w:r w:rsidDel="00000000" w:rsidR="00000000" w:rsidRPr="00000000">
              <w:rPr>
                <w:rtl w:val="0"/>
              </w:rPr>
              <w:t xml:space="preserve">courriel :</w:t>
            </w:r>
            <w:r w:rsidDel="00000000" w:rsidR="00000000" w:rsidRPr="00000000">
              <w:rPr>
                <w:highlight w:val="white"/>
                <w:rtl w:val="0"/>
              </w:rPr>
              <w:t xml:space="preserve"> liliane.pelletier@univ-reunion.fr</w:t>
            </w:r>
            <w:r w:rsidDel="00000000" w:rsidR="00000000" w:rsidRPr="00000000">
              <w:rPr>
                <w:rtl w:val="0"/>
              </w:rPr>
            </w:r>
          </w:p>
        </w:tc>
      </w:tr>
      <w:tr>
        <w:trPr>
          <w:trHeight w:val="280" w:hRule="atLeast"/>
        </w:trPr>
        <w:tc>
          <w:tcPr>
            <w:vMerge w:val="restart"/>
            <w:tcBorders>
              <w:top w:color="000000" w:space="0" w:sz="0" w:val="nil"/>
              <w:left w:color="000000" w:space="0" w:sz="12" w:val="single"/>
              <w:right w:color="000000" w:space="0" w:sz="4" w:val="single"/>
            </w:tcBorders>
            <w:shd w:fill="auto" w:val="clear"/>
            <w:vAlign w:val="center"/>
          </w:tcPr>
          <w:p w:rsidR="00000000" w:rsidDel="00000000" w:rsidP="00000000" w:rsidRDefault="00000000" w:rsidRPr="00000000" w14:paraId="00000028">
            <w:pPr>
              <w:spacing w:after="0" w:line="240" w:lineRule="auto"/>
              <w:jc w:val="center"/>
              <w:rPr>
                <w:color w:val="000000"/>
              </w:rPr>
            </w:pPr>
            <w:r w:rsidDel="00000000" w:rsidR="00000000" w:rsidRPr="00000000">
              <w:rPr>
                <w:color w:val="000000"/>
                <w:rtl w:val="0"/>
              </w:rPr>
              <w:t xml:space="preserve">Intervenants :</w:t>
            </w:r>
          </w:p>
        </w:tc>
        <w:tc>
          <w:tcPr>
            <w:gridSpan w:val="4"/>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9">
            <w:pPr>
              <w:spacing w:after="0" w:line="240" w:lineRule="auto"/>
              <w:jc w:val="center"/>
              <w:rPr>
                <w:color w:val="000000"/>
              </w:rPr>
            </w:pPr>
            <w:r w:rsidDel="00000000" w:rsidR="00000000" w:rsidRPr="00000000">
              <w:rPr>
                <w:color w:val="000000"/>
                <w:rtl w:val="0"/>
              </w:rPr>
              <w:t xml:space="preserve">Liliane Pelletier</w:t>
            </w:r>
          </w:p>
        </w:tc>
        <w:tc>
          <w:tcPr>
            <w:gridSpan w:val="4"/>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D">
            <w:pPr>
              <w:spacing w:after="0" w:line="240" w:lineRule="auto"/>
              <w:rPr/>
            </w:pPr>
            <w:r w:rsidDel="00000000" w:rsidR="00000000" w:rsidRPr="00000000">
              <w:rPr>
                <w:rtl w:val="0"/>
              </w:rPr>
              <w:t xml:space="preserve">courriel :</w:t>
            </w:r>
            <w:r w:rsidDel="00000000" w:rsidR="00000000" w:rsidRPr="00000000">
              <w:rPr>
                <w:highlight w:val="white"/>
                <w:rtl w:val="0"/>
              </w:rPr>
              <w:t xml:space="preserve"> liliane.pelletier@univ-reunion.fr</w:t>
            </w:r>
            <w:r w:rsidDel="00000000" w:rsidR="00000000" w:rsidRPr="00000000">
              <w:rPr>
                <w:rtl w:val="0"/>
              </w:rPr>
            </w:r>
          </w:p>
        </w:tc>
      </w:tr>
      <w:tr>
        <w:trPr>
          <w:trHeight w:val="280" w:hRule="atLeast"/>
        </w:trPr>
        <w:tc>
          <w:tcPr>
            <w:vMerge w:val="continue"/>
            <w:tcBorders>
              <w:top w:color="000000" w:space="0" w:sz="0" w:val="nil"/>
              <w:left w:color="000000" w:space="0" w:sz="12" w:val="single"/>
              <w:right w:color="000000" w:space="0" w:sz="4" w:val="single"/>
            </w:tcBorders>
            <w:shd w:fill="auto" w:val="clear"/>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2">
            <w:pPr>
              <w:spacing w:after="0" w:line="240" w:lineRule="auto"/>
              <w:jc w:val="center"/>
              <w:rPr>
                <w:color w:val="000000"/>
              </w:rPr>
            </w:pPr>
            <w:r w:rsidDel="00000000" w:rsidR="00000000" w:rsidRPr="00000000">
              <w:rPr>
                <w:color w:val="000000"/>
                <w:rtl w:val="0"/>
              </w:rPr>
              <w:t xml:space="preserve">Elsa Siguier</w:t>
            </w:r>
          </w:p>
        </w:tc>
        <w:tc>
          <w:tcPr>
            <w:gridSpan w:val="4"/>
            <w:tcBorders>
              <w:top w:color="000000" w:space="0" w:sz="4" w:val="single"/>
              <w:left w:color="000000" w:space="0" w:sz="0" w:val="nil"/>
              <w:bottom w:color="000000" w:space="0" w:sz="4" w:val="single"/>
              <w:right w:color="000000" w:space="0" w:sz="12" w:val="single"/>
            </w:tcBorders>
            <w:shd w:fill="auto" w:val="clear"/>
            <w:vAlign w:val="bottom"/>
          </w:tcPr>
          <w:p w:rsidR="00000000" w:rsidDel="00000000" w:rsidP="00000000" w:rsidRDefault="00000000" w:rsidRPr="00000000" w14:paraId="00000036">
            <w:pPr>
              <w:spacing w:after="0" w:line="240" w:lineRule="auto"/>
              <w:rPr>
                <w:color w:val="000000"/>
              </w:rPr>
            </w:pPr>
            <w:bookmarkStart w:colFirst="0" w:colLast="0" w:name="_gjdgxs" w:id="0"/>
            <w:bookmarkEnd w:id="0"/>
            <w:r w:rsidDel="00000000" w:rsidR="00000000" w:rsidRPr="00000000">
              <w:rPr>
                <w:color w:val="000000"/>
                <w:rtl w:val="0"/>
              </w:rPr>
              <w:t xml:space="preserve">courriel :</w:t>
            </w:r>
            <w:r w:rsidDel="00000000" w:rsidR="00000000" w:rsidRPr="00000000">
              <w:rPr>
                <w:rtl w:val="0"/>
              </w:rPr>
              <w:t xml:space="preserve"> elsa.siguier@univ-reunion.fr</w:t>
            </w:r>
            <w:r w:rsidDel="00000000" w:rsidR="00000000" w:rsidRPr="00000000">
              <w:rPr>
                <w:rtl w:val="0"/>
              </w:rPr>
            </w:r>
          </w:p>
        </w:tc>
      </w:tr>
      <w:tr>
        <w:trPr>
          <w:trHeight w:val="300" w:hRule="atLeast"/>
        </w:trPr>
        <w:tc>
          <w:tcPr>
            <w:vMerge w:val="continue"/>
            <w:tcBorders>
              <w:top w:color="000000" w:space="0" w:sz="0" w:val="nil"/>
              <w:left w:color="000000" w:space="0" w:sz="12" w:val="single"/>
              <w:right w:color="000000" w:space="0" w:sz="4" w:val="single"/>
            </w:tcBorders>
            <w:shd w:fill="auto" w:val="clear"/>
            <w:vAlign w:val="cente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4"/>
            <w:tcBorders>
              <w:top w:color="000000" w:space="0" w:sz="4" w:val="single"/>
              <w:left w:color="000000" w:space="0" w:sz="0" w:val="nil"/>
              <w:bottom w:color="000000" w:space="0" w:sz="12" w:val="single"/>
              <w:right w:color="000000" w:space="0" w:sz="4" w:val="single"/>
            </w:tcBorders>
            <w:shd w:fill="auto" w:val="clear"/>
            <w:vAlign w:val="bottom"/>
          </w:tcPr>
          <w:p w:rsidR="00000000" w:rsidDel="00000000" w:rsidP="00000000" w:rsidRDefault="00000000" w:rsidRPr="00000000" w14:paraId="0000003B">
            <w:pPr>
              <w:spacing w:after="0" w:line="240" w:lineRule="auto"/>
              <w:jc w:val="center"/>
              <w:rPr>
                <w:color w:val="000000"/>
              </w:rPr>
            </w:pPr>
            <w:r w:rsidDel="00000000" w:rsidR="00000000" w:rsidRPr="00000000">
              <w:rPr>
                <w:rtl w:val="0"/>
              </w:rPr>
              <w:t xml:space="preserve">Rodéric Brocard</w:t>
            </w:r>
            <w:r w:rsidDel="00000000" w:rsidR="00000000" w:rsidRPr="00000000">
              <w:rPr>
                <w:color w:val="000000"/>
                <w:rtl w:val="0"/>
              </w:rPr>
              <w:t xml:space="preserve"> </w:t>
            </w:r>
          </w:p>
        </w:tc>
        <w:tc>
          <w:tcPr>
            <w:gridSpan w:val="4"/>
            <w:tcBorders>
              <w:top w:color="000000" w:space="0" w:sz="4" w:val="single"/>
              <w:left w:color="000000" w:space="0" w:sz="0" w:val="nil"/>
              <w:bottom w:color="000000" w:space="0" w:sz="12" w:val="single"/>
              <w:right w:color="000000" w:space="0" w:sz="12" w:val="single"/>
            </w:tcBorders>
            <w:shd w:fill="auto" w:val="clear"/>
            <w:vAlign w:val="bottom"/>
          </w:tcPr>
          <w:p w:rsidR="00000000" w:rsidDel="00000000" w:rsidP="00000000" w:rsidRDefault="00000000" w:rsidRPr="00000000" w14:paraId="0000003F">
            <w:pPr>
              <w:spacing w:after="0" w:line="240" w:lineRule="auto"/>
              <w:rPr>
                <w:color w:val="000000"/>
              </w:rPr>
            </w:pPr>
            <w:r w:rsidDel="00000000" w:rsidR="00000000" w:rsidRPr="00000000">
              <w:rPr>
                <w:color w:val="000000"/>
                <w:rtl w:val="0"/>
              </w:rPr>
              <w:t xml:space="preserve">Courriel : </w:t>
            </w:r>
            <w:r w:rsidDel="00000000" w:rsidR="00000000" w:rsidRPr="00000000">
              <w:rPr>
                <w:rtl w:val="0"/>
              </w:rPr>
              <w:t xml:space="preserve">roderic.brocard</w:t>
            </w:r>
            <w:r w:rsidDel="00000000" w:rsidR="00000000" w:rsidRPr="00000000">
              <w:rPr>
                <w:color w:val="000000"/>
                <w:rtl w:val="0"/>
              </w:rPr>
              <w:t xml:space="preserve">@univ-reunion.fr</w:t>
            </w:r>
          </w:p>
        </w:tc>
      </w:tr>
      <w:tr>
        <w:trPr>
          <w:trHeight w:val="300" w:hRule="atLeast"/>
        </w:trPr>
        <w:tc>
          <w:tcPr>
            <w:gridSpan w:val="9"/>
            <w:tcBorders>
              <w:left w:color="000000" w:space="0" w:sz="12" w:val="single"/>
              <w:bottom w:color="000000" w:space="0" w:sz="12" w:val="single"/>
              <w:right w:color="000000" w:space="0" w:sz="12" w:val="single"/>
            </w:tcBorders>
            <w:vAlign w:val="center"/>
          </w:tcPr>
          <w:p w:rsidR="00000000" w:rsidDel="00000000" w:rsidP="00000000" w:rsidRDefault="00000000" w:rsidRPr="00000000" w14:paraId="00000043">
            <w:pPr>
              <w:spacing w:after="0" w:line="240" w:lineRule="auto"/>
              <w:rPr>
                <w:color w:val="000000"/>
              </w:rPr>
            </w:pPr>
            <w:r w:rsidDel="00000000" w:rsidR="00000000" w:rsidRPr="00000000">
              <w:rPr>
                <w:color w:val="000000"/>
                <w:rtl w:val="0"/>
              </w:rPr>
              <w:t xml:space="preserve">NB : PEMF ou PFA (TD1) et directeur ou chef d’établissement (TD2) en cointervention avec les intervenants</w:t>
            </w:r>
          </w:p>
        </w:tc>
      </w:tr>
      <w:tr>
        <w:trPr>
          <w:trHeight w:val="380" w:hRule="atLeast"/>
        </w:trPr>
        <w:tc>
          <w:tcPr>
            <w:gridSpan w:val="9"/>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4C">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CONTENU PEDAGOGIQUE : </w:t>
            </w:r>
            <w:r w:rsidDel="00000000" w:rsidR="00000000" w:rsidRPr="00000000">
              <w:rPr>
                <w:rFonts w:ascii="Calibri" w:cs="Calibri" w:eastAsia="Calibri" w:hAnsi="Calibri"/>
                <w:i w:val="1"/>
                <w:color w:val="000000"/>
                <w:sz w:val="20"/>
                <w:szCs w:val="20"/>
                <w:rtl w:val="0"/>
              </w:rPr>
              <w:t xml:space="preserve">Description du cours et principes de fonctionnement : de quoi s’agit-il ? Quelles intentions ? </w:t>
            </w:r>
            <w:r w:rsidDel="00000000" w:rsidR="00000000" w:rsidRPr="00000000">
              <w:rPr>
                <w:rtl w:val="0"/>
              </w:rPr>
            </w:r>
          </w:p>
        </w:tc>
      </w:tr>
      <w:tr>
        <w:trPr>
          <w:trHeight w:val="540" w:hRule="atLeast"/>
        </w:trPr>
        <w:tc>
          <w:tcPr>
            <w:gridSpan w:val="9"/>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55">
            <w:pPr>
              <w:spacing w:after="0" w:line="240" w:lineRule="auto"/>
              <w:jc w:val="both"/>
              <w:rPr>
                <w:color w:val="000000"/>
              </w:rPr>
            </w:pPr>
            <w:r w:rsidDel="00000000" w:rsidR="00000000" w:rsidRPr="00000000">
              <w:rPr>
                <w:rtl w:val="0"/>
              </w:rPr>
            </w:r>
          </w:p>
          <w:p w:rsidR="00000000" w:rsidDel="00000000" w:rsidP="00000000" w:rsidRDefault="00000000" w:rsidRPr="00000000" w14:paraId="00000056">
            <w:pPr>
              <w:spacing w:after="0" w:line="240" w:lineRule="auto"/>
              <w:jc w:val="both"/>
              <w:rPr>
                <w:color w:val="000000"/>
              </w:rPr>
            </w:pPr>
            <w:r w:rsidDel="00000000" w:rsidR="00000000" w:rsidRPr="00000000">
              <w:rPr>
                <w:color w:val="000000"/>
                <w:rtl w:val="0"/>
              </w:rPr>
              <w:t xml:space="preserve">« Moins l’organisation structure les modes de fonctionnement et les rapports humains, moins les élèves acceptent ou maîtrisent le « métier d’élève, plus chaque enseignant dans sa personne est au centre de la relation éducative : construire une situation de travail, mettre les enfants ou pré-adolescents en posture d’élèves, construire et justifier son autorité… (…). Lorsque les obstacles sont trop importants, les enseignants sont contraints de développer, pour faire tenir la situation, des stratégies d’adaptation, voire de survie qui ne facilitent pas nécessairement l’enseignement (Lang, 2014).</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Cette entrée a pour objectif de donner des clés pour que les futurs enseignants et éducateurs organisent et assurent le fonctionnement du groupe classe afin de favoriser apprentissage et socialisation des élèves. Elle présente les apports de la recherche en sciences de l’éducation à propos du climat scolaire et de la nécessaire réflexion sur les différentes interventions proposées aujourd’hui pour améliorer le climat d’un établissement, prévenir la violence, réduire le décrochage scolaire, diminuer la souffrance à l’école (des élèves mais aussi celle de tous les membres de la communauté éducative). Le cours propose d'aborder le climat scolaire au plan international, national et du point de vue de l'institution), puis de réfléchir à la question du climat de l'établissement et enfin de terminer par le climat de classe et les ingrédients indispensables à un cadre serein pour tous, de la maternelle au lycée.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cours est ainsi organisé en trois CM et deux TD :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CM n°1 : du macrosystème au mésosystème : entrer dans les contextes et construire la notion climat scolaire. État de la recherche en éducation sur la question du climat scolaire et lien avec les politiques éducatives (dimension historique, sociologique et politique)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CM n°2 : du mésosytème au microsystème-classe : entrer dans l’école, l’établissement et repérer les facteurs susceptibles d’intervenir dans la qualité du climat scolaire (communauté éducative ; effet établissement : pratiques collaboratives, relation École-famille)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CM n° 3 : du mésosytème au microsystème-classe : entrer dans la classe et repérer les conditions d’un climat propice  aux apprentissages et à la socialisation (effet maitre : pratiques pédagogiques en articulation avec aspects didactiques)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Les deux TD reprennent les contenus du CM n°2 et du CM n°3 avec des cas pratiques analysés en cointervention avec un professeur de la discipline ou un professeur des écoles maître formateur (microsystème-classe) et avec un chef d’établissement ou directeur (méso-système-établissement).</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Sachant que le climat est déterminant dans la propension de l’école à être ou à devenir un lieu favorisant l’apprentissage, non pas seulement de connaissances, mais aussi de la vie et du travail en groupe, du dépassement de soi, de la confiance en soi et dans les autres, du sens des responsabilités et de l’autonomie, de l’affirmation et de la réalisation de soi, de la participation et de la création, il nous appartient donc avec cette entrée de mettre en relation des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concepts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(considérés comme des ressources et des outils de travail) et des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contextes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(correspondant aux besoins réels des terrains de stage) pour analyser des situations éducatives complexes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dans la perspective d’organiser et d’assurer le mode de fonctionnement du groupe favorisant l'apprentissage et la socialisation des élèves.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ff0000"/>
                <w:sz w:val="22"/>
                <w:szCs w:val="22"/>
                <w:u w:val="none"/>
                <w:shd w:fill="auto" w:val="clear"/>
                <w:vertAlign w:val="baseline"/>
              </w:rPr>
            </w:pPr>
            <w:r w:rsidDel="00000000" w:rsidR="00000000" w:rsidRPr="00000000">
              <w:rPr>
                <w:rtl w:val="0"/>
              </w:rPr>
            </w:r>
          </w:p>
        </w:tc>
      </w:tr>
      <w:tr>
        <w:trPr>
          <w:trHeight w:val="280" w:hRule="atLeast"/>
        </w:trPr>
        <w:tc>
          <w:tcPr>
            <w:gridSpan w:val="9"/>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ff0000"/>
                <w:sz w:val="22"/>
                <w:szCs w:val="22"/>
                <w:u w:val="none"/>
                <w:shd w:fill="auto" w:val="clear"/>
                <w:vertAlign w:val="baseline"/>
              </w:rPr>
            </w:pPr>
            <w:r w:rsidDel="00000000" w:rsidR="00000000" w:rsidRPr="00000000">
              <w:rPr>
                <w:rtl w:val="0"/>
              </w:rPr>
            </w:r>
          </w:p>
        </w:tc>
      </w:tr>
      <w:tr>
        <w:trPr>
          <w:trHeight w:val="280" w:hRule="atLeast"/>
        </w:trPr>
        <w:tc>
          <w:tcPr>
            <w:gridSpan w:val="9"/>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ff0000"/>
                <w:sz w:val="22"/>
                <w:szCs w:val="22"/>
                <w:u w:val="none"/>
                <w:shd w:fill="auto" w:val="clear"/>
                <w:vertAlign w:val="baseline"/>
              </w:rPr>
            </w:pPr>
            <w:r w:rsidDel="00000000" w:rsidR="00000000" w:rsidRPr="00000000">
              <w:rPr>
                <w:rtl w:val="0"/>
              </w:rPr>
            </w:r>
          </w:p>
        </w:tc>
      </w:tr>
      <w:tr>
        <w:trPr>
          <w:trHeight w:val="280" w:hRule="atLeast"/>
        </w:trPr>
        <w:tc>
          <w:tcPr>
            <w:gridSpan w:val="9"/>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ff0000"/>
                <w:sz w:val="22"/>
                <w:szCs w:val="22"/>
                <w:u w:val="none"/>
                <w:shd w:fill="auto" w:val="clear"/>
                <w:vertAlign w:val="baseline"/>
              </w:rPr>
            </w:pPr>
            <w:r w:rsidDel="00000000" w:rsidR="00000000" w:rsidRPr="00000000">
              <w:rPr>
                <w:rtl w:val="0"/>
              </w:rPr>
            </w:r>
          </w:p>
        </w:tc>
      </w:tr>
      <w:tr>
        <w:trPr>
          <w:trHeight w:val="280" w:hRule="atLeast"/>
        </w:trPr>
        <w:tc>
          <w:tcPr>
            <w:gridSpan w:val="9"/>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ff0000"/>
                <w:sz w:val="22"/>
                <w:szCs w:val="22"/>
                <w:u w:val="none"/>
                <w:shd w:fill="auto" w:val="clear"/>
                <w:vertAlign w:val="baseline"/>
              </w:rPr>
            </w:pPr>
            <w:r w:rsidDel="00000000" w:rsidR="00000000" w:rsidRPr="00000000">
              <w:rPr>
                <w:rtl w:val="0"/>
              </w:rPr>
            </w:r>
          </w:p>
        </w:tc>
      </w:tr>
      <w:tr>
        <w:trPr>
          <w:trHeight w:val="280" w:hRule="atLeast"/>
        </w:trPr>
        <w:tc>
          <w:tcPr>
            <w:gridSpan w:val="9"/>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ff0000"/>
                <w:sz w:val="22"/>
                <w:szCs w:val="22"/>
                <w:u w:val="none"/>
                <w:shd w:fill="auto" w:val="clear"/>
                <w:vertAlign w:val="baseline"/>
              </w:rPr>
            </w:pPr>
            <w:r w:rsidDel="00000000" w:rsidR="00000000" w:rsidRPr="00000000">
              <w:rPr>
                <w:rtl w:val="0"/>
              </w:rPr>
            </w:r>
          </w:p>
        </w:tc>
      </w:tr>
      <w:tr>
        <w:trPr>
          <w:trHeight w:val="280" w:hRule="atLeast"/>
        </w:trPr>
        <w:tc>
          <w:tcPr>
            <w:gridSpan w:val="9"/>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ff0000"/>
                <w:sz w:val="22"/>
                <w:szCs w:val="22"/>
                <w:u w:val="none"/>
                <w:shd w:fill="auto" w:val="clear"/>
                <w:vertAlign w:val="baseline"/>
              </w:rPr>
            </w:pPr>
            <w:r w:rsidDel="00000000" w:rsidR="00000000" w:rsidRPr="00000000">
              <w:rPr>
                <w:rtl w:val="0"/>
              </w:rPr>
            </w:r>
          </w:p>
        </w:tc>
      </w:tr>
      <w:tr>
        <w:trPr>
          <w:trHeight w:val="300" w:hRule="atLeast"/>
        </w:trPr>
        <w:tc>
          <w:tcPr>
            <w:gridSpan w:val="9"/>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ff0000"/>
                <w:sz w:val="22"/>
                <w:szCs w:val="22"/>
                <w:u w:val="none"/>
                <w:shd w:fill="auto" w:val="clear"/>
                <w:vertAlign w:val="baseline"/>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6">
            <w:pPr>
              <w:spacing w:after="0" w:line="240" w:lineRule="auto"/>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7">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8">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9">
            <w:pPr>
              <w:spacing w:after="0" w:line="240" w:lineRule="auto"/>
              <w:rPr>
                <w:rFonts w:ascii="Times New Roman" w:cs="Times New Roman" w:eastAsia="Times New Roman" w:hAnsi="Times New Roman"/>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A">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C">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D">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E">
            <w:pPr>
              <w:spacing w:after="0" w:line="240" w:lineRule="auto"/>
              <w:rPr>
                <w:rFonts w:ascii="Times New Roman" w:cs="Times New Roman" w:eastAsia="Times New Roman" w:hAnsi="Times New Roman"/>
                <w:sz w:val="16"/>
                <w:szCs w:val="16"/>
              </w:rPr>
            </w:pPr>
            <w:r w:rsidDel="00000000" w:rsidR="00000000" w:rsidRPr="00000000">
              <w:rPr>
                <w:rtl w:val="0"/>
              </w:rPr>
            </w:r>
          </w:p>
        </w:tc>
      </w:tr>
      <w:tr>
        <w:trPr>
          <w:trHeight w:val="380" w:hRule="atLeast"/>
        </w:trPr>
        <w:tc>
          <w:tcPr>
            <w:gridSpan w:val="9"/>
            <w:tcBorders>
              <w:top w:color="000000" w:space="0" w:sz="12" w:val="single"/>
              <w:left w:color="000000" w:space="0" w:sz="12" w:val="single"/>
              <w:bottom w:color="000000" w:space="0" w:sz="4" w:val="single"/>
              <w:right w:color="000000" w:space="0" w:sz="12" w:val="single"/>
            </w:tcBorders>
            <w:shd w:fill="e7e6e6" w:val="clear"/>
            <w:vAlign w:val="bottom"/>
          </w:tcPr>
          <w:p w:rsidR="00000000" w:rsidDel="00000000" w:rsidP="00000000" w:rsidRDefault="00000000" w:rsidRPr="00000000" w14:paraId="000000AF">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Objectifs : </w:t>
            </w:r>
          </w:p>
        </w:tc>
      </w:tr>
      <w:tr>
        <w:trPr>
          <w:trHeight w:val="300" w:hRule="atLeast"/>
        </w:trPr>
        <w:tc>
          <w:tcPr>
            <w:gridSpan w:val="9"/>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spacing w:after="0" w:line="240" w:lineRule="auto"/>
              <w:rPr>
                <w:color w:val="000000"/>
              </w:rPr>
            </w:pPr>
            <w:r w:rsidDel="00000000" w:rsidR="00000000" w:rsidRPr="00000000">
              <w:rPr>
                <w:color w:val="000000"/>
                <w:rtl w:val="0"/>
              </w:rPr>
              <w:t xml:space="preserve">- Identifier des situations éducatives complexes susceptibles d’être analysés selon un ou plusieurs regard(s) théorique(s) proposés en cours et proposer une action pédagogique et éducative adaptée à la diversité des élèves et à leurs difficultés (scolaires, de rapport au savoir, de rapport à l’institution… ). </w:t>
            </w:r>
          </w:p>
          <w:p w:rsidR="00000000" w:rsidDel="00000000" w:rsidP="00000000" w:rsidRDefault="00000000" w:rsidRPr="00000000" w14:paraId="000000BA">
            <w:pPr>
              <w:spacing w:after="0" w:line="240" w:lineRule="auto"/>
              <w:rPr>
                <w:color w:val="000000"/>
              </w:rPr>
            </w:pPr>
            <w:r w:rsidDel="00000000" w:rsidR="00000000" w:rsidRPr="00000000">
              <w:rPr>
                <w:color w:val="000000"/>
                <w:rtl w:val="0"/>
              </w:rPr>
              <w:t xml:space="preserve">- Identifier des invariants favorisant l’instauration d’un cadre sécurisant et épanouissant ; </w:t>
            </w:r>
          </w:p>
          <w:p w:rsidR="00000000" w:rsidDel="00000000" w:rsidP="00000000" w:rsidRDefault="00000000" w:rsidRPr="00000000" w14:paraId="000000BB">
            <w:pPr>
              <w:spacing w:after="0" w:lineRule="auto"/>
              <w:rPr>
                <w:color w:val="000000"/>
              </w:rPr>
            </w:pPr>
            <w:r w:rsidDel="00000000" w:rsidR="00000000" w:rsidRPr="00000000">
              <w:rPr>
                <w:color w:val="000000"/>
                <w:rtl w:val="0"/>
              </w:rPr>
              <w:t xml:space="preserve">- Mobiliser des ressources (savoirs issus de la recherche et savoirs d’expérience)  en fonction des situations, pour concevoir et organiser des conditions d’apprentissage adaptées à la situation et à son contexte.   </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280" w:hRule="atLeast"/>
        </w:trPr>
        <w:tc>
          <w:tcPr>
            <w:gridSpan w:val="9"/>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gridSpan w:val="9"/>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gridSpan w:val="9"/>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gridSpan w:val="9"/>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80" w:hRule="atLeast"/>
        </w:trPr>
        <w:tc>
          <w:tcPr>
            <w:gridSpan w:val="9"/>
            <w:tcBorders>
              <w:top w:color="000000" w:space="0" w:sz="4"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E9">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Compétences à acquérir : </w:t>
            </w:r>
            <w:r w:rsidDel="00000000" w:rsidR="00000000" w:rsidRPr="00000000">
              <w:rPr>
                <w:rFonts w:ascii="Calibri" w:cs="Calibri" w:eastAsia="Calibri" w:hAnsi="Calibri"/>
                <w:i w:val="1"/>
                <w:color w:val="000000"/>
                <w:rtl w:val="0"/>
              </w:rPr>
              <w:t xml:space="preserve">De quoi – les étudiants - devront-ils être capables à la fin du cours ? </w:t>
            </w:r>
            <w:r w:rsidDel="00000000" w:rsidR="00000000" w:rsidRPr="00000000">
              <w:rPr>
                <w:rtl w:val="0"/>
              </w:rPr>
            </w:r>
          </w:p>
        </w:tc>
      </w:tr>
      <w:tr>
        <w:trPr>
          <w:trHeight w:val="300" w:hRule="atLeast"/>
        </w:trPr>
        <w:tc>
          <w:tcPr>
            <w:gridSpan w:val="9"/>
            <w:vMerge w:val="restart"/>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0F2">
            <w:pPr>
              <w:spacing w:after="0" w:line="240" w:lineRule="auto"/>
              <w:rPr>
                <w:color w:val="000000"/>
              </w:rPr>
            </w:pPr>
            <w:r w:rsidDel="00000000" w:rsidR="00000000" w:rsidRPr="00000000">
              <w:rPr>
                <w:color w:val="000000"/>
                <w:rtl w:val="0"/>
              </w:rPr>
              <w:t xml:space="preserve"> </w:t>
            </w:r>
          </w:p>
          <w:p w:rsidR="00000000" w:rsidDel="00000000" w:rsidP="00000000" w:rsidRDefault="00000000" w:rsidRPr="00000000" w14:paraId="000000F3">
            <w:pPr>
              <w:spacing w:after="0" w:line="240" w:lineRule="auto"/>
              <w:rPr>
                <w:b w:val="1"/>
                <w:color w:val="000000"/>
              </w:rPr>
            </w:pPr>
            <w:r w:rsidDel="00000000" w:rsidR="00000000" w:rsidRPr="00000000">
              <w:rPr>
                <w:b w:val="1"/>
                <w:color w:val="000000"/>
                <w:rtl w:val="0"/>
              </w:rPr>
              <w:t xml:space="preserve">Compétence P4 du référentiel des compétences professionnelles du 1</w:t>
            </w:r>
            <w:r w:rsidDel="00000000" w:rsidR="00000000" w:rsidRPr="00000000">
              <w:rPr>
                <w:b w:val="1"/>
                <w:color w:val="000000"/>
                <w:vertAlign w:val="superscript"/>
                <w:rtl w:val="0"/>
              </w:rPr>
              <w:t xml:space="preserve">er</w:t>
            </w:r>
            <w:r w:rsidDel="00000000" w:rsidR="00000000" w:rsidRPr="00000000">
              <w:rPr>
                <w:b w:val="1"/>
                <w:color w:val="000000"/>
                <w:rtl w:val="0"/>
              </w:rPr>
              <w:t xml:space="preserve"> juillet 2013 : </w:t>
            </w:r>
          </w:p>
          <w:p w:rsidR="00000000" w:rsidDel="00000000" w:rsidP="00000000" w:rsidRDefault="00000000" w:rsidRPr="00000000" w14:paraId="000000F4">
            <w:pPr>
              <w:spacing w:after="0" w:line="240" w:lineRule="auto"/>
              <w:rPr>
                <w:color w:val="000000"/>
              </w:rPr>
            </w:pPr>
            <w:r w:rsidDel="00000000" w:rsidR="00000000" w:rsidRPr="00000000">
              <w:rPr>
                <w:color w:val="000000"/>
                <w:rtl w:val="0"/>
              </w:rPr>
              <w:t xml:space="preserve">- Installer avec les élèves une relation de confiance et de bienveillance.</w:t>
            </w:r>
          </w:p>
          <w:p w:rsidR="00000000" w:rsidDel="00000000" w:rsidP="00000000" w:rsidRDefault="00000000" w:rsidRPr="00000000" w14:paraId="000000F5">
            <w:pPr>
              <w:spacing w:after="0" w:line="240" w:lineRule="auto"/>
              <w:rPr>
                <w:color w:val="000000"/>
              </w:rPr>
            </w:pPr>
            <w:r w:rsidDel="00000000" w:rsidR="00000000" w:rsidRPr="00000000">
              <w:rPr>
                <w:color w:val="000000"/>
                <w:rtl w:val="0"/>
              </w:rPr>
              <w:t xml:space="preserve">- Maintenir un climat propice à l'apprentissage et un mode de fonctionnement efficace et pertinent pour les activités. </w:t>
            </w:r>
          </w:p>
          <w:p w:rsidR="00000000" w:rsidDel="00000000" w:rsidP="00000000" w:rsidRDefault="00000000" w:rsidRPr="00000000" w14:paraId="000000F6">
            <w:pPr>
              <w:spacing w:after="0" w:line="240" w:lineRule="auto"/>
              <w:rPr>
                <w:color w:val="000000"/>
              </w:rPr>
            </w:pPr>
            <w:r w:rsidDel="00000000" w:rsidR="00000000" w:rsidRPr="00000000">
              <w:rPr>
                <w:color w:val="000000"/>
                <w:rtl w:val="0"/>
              </w:rPr>
              <w:t xml:space="preserve">- Rendre explicites pour les élèves les objectifs visés et construire avec eux le sens des apprentissages. </w:t>
            </w:r>
          </w:p>
          <w:p w:rsidR="00000000" w:rsidDel="00000000" w:rsidP="00000000" w:rsidRDefault="00000000" w:rsidRPr="00000000" w14:paraId="000000F7">
            <w:pPr>
              <w:spacing w:after="0" w:line="240" w:lineRule="auto"/>
              <w:rPr>
                <w:color w:val="000000"/>
              </w:rPr>
            </w:pPr>
            <w:r w:rsidDel="00000000" w:rsidR="00000000" w:rsidRPr="00000000">
              <w:rPr>
                <w:color w:val="000000"/>
                <w:rtl w:val="0"/>
              </w:rPr>
              <w:t xml:space="preserve">- Favoriser la participation et l'implication de tous les élèves et créer une dynamique d'échanges et de collaboration entre pairs. </w:t>
            </w:r>
          </w:p>
          <w:p w:rsidR="00000000" w:rsidDel="00000000" w:rsidP="00000000" w:rsidRDefault="00000000" w:rsidRPr="00000000" w14:paraId="000000F8">
            <w:pPr>
              <w:spacing w:after="0" w:line="240" w:lineRule="auto"/>
              <w:rPr>
                <w:color w:val="000000"/>
              </w:rPr>
            </w:pPr>
            <w:r w:rsidDel="00000000" w:rsidR="00000000" w:rsidRPr="00000000">
              <w:rPr>
                <w:color w:val="000000"/>
                <w:rtl w:val="0"/>
              </w:rPr>
              <w:t xml:space="preserve">- Instaurer un cadre de travail et des règles assurant la sécurité au sein des plates-formes techniques, des laboratoires, des équipements sportifs et artistiques. </w:t>
            </w:r>
          </w:p>
          <w:p w:rsidR="00000000" w:rsidDel="00000000" w:rsidP="00000000" w:rsidRDefault="00000000" w:rsidRPr="00000000" w14:paraId="000000F9">
            <w:pPr>
              <w:spacing w:after="0" w:lineRule="auto"/>
              <w:rPr>
                <w:color w:val="000000"/>
              </w:rPr>
            </w:pPr>
            <w:r w:rsidDel="00000000" w:rsidR="00000000" w:rsidRPr="00000000">
              <w:rPr>
                <w:color w:val="000000"/>
                <w:rtl w:val="0"/>
              </w:rPr>
              <w:t xml:space="preserve">- Recourir à des stratégies adéquates pour prévenir l'émergence de comportements inappropriés et pour intervenir efficacement s'ils se manifestent. </w:t>
            </w:r>
          </w:p>
          <w:p w:rsidR="00000000" w:rsidDel="00000000" w:rsidP="00000000" w:rsidRDefault="00000000" w:rsidRPr="00000000" w14:paraId="000000FA">
            <w:pPr>
              <w:spacing w:after="0" w:line="240" w:lineRule="auto"/>
              <w:rPr>
                <w:color w:val="000000"/>
              </w:rPr>
            </w:pPr>
            <w:r w:rsidDel="00000000" w:rsidR="00000000" w:rsidRPr="00000000">
              <w:rPr>
                <w:rtl w:val="0"/>
              </w:rPr>
            </w:r>
          </w:p>
        </w:tc>
      </w:tr>
      <w:tr>
        <w:trPr>
          <w:trHeight w:val="300" w:hRule="atLeast"/>
        </w:trPr>
        <w:tc>
          <w:tcPr>
            <w:gridSpan w:val="9"/>
            <w:vMerge w:val="continue"/>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9"/>
            <w:vMerge w:val="continue"/>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9"/>
            <w:vMerge w:val="continue"/>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9"/>
            <w:vMerge w:val="continue"/>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00" w:hRule="atLeast"/>
        </w:trPr>
        <w:tc>
          <w:tcPr>
            <w:gridSpan w:val="9"/>
            <w:vMerge w:val="continue"/>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80" w:hRule="atLeast"/>
        </w:trPr>
        <w:tc>
          <w:tcPr>
            <w:gridSpan w:val="9"/>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130">
            <w:pPr>
              <w:spacing w:after="0" w:line="240" w:lineRule="auto"/>
              <w:rPr>
                <w:color w:val="000000"/>
              </w:rPr>
            </w:pPr>
            <w:r w:rsidDel="00000000" w:rsidR="00000000" w:rsidRPr="00000000">
              <w:rPr>
                <w:color w:val="000000"/>
                <w:rtl w:val="0"/>
              </w:rPr>
              <w:t xml:space="preserve">Modalités d'évaluation des connaissances et des compétences</w:t>
            </w:r>
          </w:p>
        </w:tc>
      </w:tr>
      <w:tr>
        <w:trPr>
          <w:trHeight w:val="300" w:hRule="atLeast"/>
        </w:trPr>
        <w:tc>
          <w:tcPr>
            <w:gridSpan w:val="4"/>
            <w:tcBorders>
              <w:top w:color="000000" w:space="0" w:sz="8" w:val="single"/>
              <w:left w:color="000000" w:space="0" w:sz="8" w:val="single"/>
              <w:bottom w:color="000000" w:space="0" w:sz="0" w:val="nil"/>
              <w:right w:color="000000" w:space="0" w:sz="8" w:val="single"/>
            </w:tcBorders>
            <w:shd w:fill="auto" w:val="clear"/>
            <w:vAlign w:val="center"/>
          </w:tcPr>
          <w:p w:rsidR="00000000" w:rsidDel="00000000" w:rsidP="00000000" w:rsidRDefault="00000000" w:rsidRPr="00000000" w14:paraId="00000139">
            <w:pPr>
              <w:spacing w:after="0" w:line="240" w:lineRule="auto"/>
              <w:rPr>
                <w:color w:val="000000"/>
              </w:rPr>
            </w:pPr>
            <w:r w:rsidDel="00000000" w:rsidR="00000000" w:rsidRPr="00000000">
              <w:rPr>
                <w:color w:val="000000"/>
                <w:rtl w:val="0"/>
              </w:rPr>
              <w:t xml:space="preserve">1</w:t>
            </w:r>
            <w:r w:rsidDel="00000000" w:rsidR="00000000" w:rsidRPr="00000000">
              <w:rPr>
                <w:color w:val="000000"/>
                <w:vertAlign w:val="superscript"/>
                <w:rtl w:val="0"/>
              </w:rPr>
              <w:t xml:space="preserve">ère</w:t>
            </w:r>
            <w:r w:rsidDel="00000000" w:rsidR="00000000" w:rsidRPr="00000000">
              <w:rPr>
                <w:color w:val="000000"/>
                <w:rtl w:val="0"/>
              </w:rPr>
              <w:t xml:space="preserve"> session : écrit (en articulation avec l’entrée E3)</w:t>
            </w:r>
          </w:p>
        </w:tc>
        <w:tc>
          <w:tcPr>
            <w:gridSpan w:val="5"/>
            <w:tcBorders>
              <w:top w:color="000000" w:space="0" w:sz="12" w:val="single"/>
              <w:left w:color="000000" w:space="0" w:sz="0" w:val="nil"/>
              <w:bottom w:color="000000" w:space="0" w:sz="0" w:val="nil"/>
              <w:right w:color="000000" w:space="0" w:sz="12" w:val="single"/>
            </w:tcBorders>
            <w:shd w:fill="auto" w:val="clear"/>
            <w:vAlign w:val="center"/>
          </w:tcPr>
          <w:p w:rsidR="00000000" w:rsidDel="00000000" w:rsidP="00000000" w:rsidRDefault="00000000" w:rsidRPr="00000000" w14:paraId="0000013D">
            <w:pPr>
              <w:spacing w:after="0" w:line="240" w:lineRule="auto"/>
              <w:rPr>
                <w:color w:val="000000"/>
              </w:rPr>
            </w:pPr>
            <w:r w:rsidDel="00000000" w:rsidR="00000000" w:rsidRPr="00000000">
              <w:rPr>
                <w:rtl w:val="0"/>
              </w:rPr>
              <w:t xml:space="preserve">2</w:t>
            </w:r>
            <w:r w:rsidDel="00000000" w:rsidR="00000000" w:rsidRPr="00000000">
              <w:rPr>
                <w:vertAlign w:val="superscript"/>
                <w:rtl w:val="0"/>
              </w:rPr>
              <w:t xml:space="preserve">ème</w:t>
            </w:r>
            <w:r w:rsidDel="00000000" w:rsidR="00000000" w:rsidRPr="00000000">
              <w:rPr>
                <w:rtl w:val="0"/>
              </w:rPr>
              <w:t xml:space="preserve"> session : écrit à rendre par voie numérique</w:t>
            </w:r>
            <w:r w:rsidDel="00000000" w:rsidR="00000000" w:rsidRPr="00000000">
              <w:rPr>
                <w:rtl w:val="0"/>
              </w:rPr>
            </w:r>
          </w:p>
        </w:tc>
      </w:tr>
      <w:tr>
        <w:trPr>
          <w:trHeight w:val="280" w:hRule="atLeast"/>
        </w:trPr>
        <w:tc>
          <w:tcPr>
            <w:gridSpan w:val="4"/>
            <w:vMerge w:val="restart"/>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142">
            <w:pPr>
              <w:spacing w:after="0" w:line="240" w:lineRule="auto"/>
              <w:jc w:val="both"/>
              <w:rPr>
                <w:color w:val="000000"/>
              </w:rPr>
            </w:pPr>
            <w:r w:rsidDel="00000000" w:rsidR="00000000" w:rsidRPr="00000000">
              <w:rPr>
                <w:color w:val="000000"/>
                <w:rtl w:val="0"/>
              </w:rPr>
              <w:t xml:space="preserve"> </w:t>
            </w:r>
          </w:p>
        </w:tc>
        <w:tc>
          <w:tcPr>
            <w:gridSpan w:val="5"/>
            <w:vMerge w:val="restart"/>
            <w:tcBorders>
              <w:top w:color="000000" w:space="0" w:sz="0" w:val="nil"/>
              <w:left w:color="000000" w:space="0" w:sz="8" w:val="single"/>
              <w:bottom w:color="000000" w:space="0" w:sz="12" w:val="single"/>
              <w:right w:color="000000" w:space="0" w:sz="12" w:val="single"/>
            </w:tcBorders>
            <w:shd w:fill="auto" w:val="clear"/>
          </w:tcPr>
          <w:p w:rsidR="00000000" w:rsidDel="00000000" w:rsidP="00000000" w:rsidRDefault="00000000" w:rsidRPr="00000000" w14:paraId="00000146">
            <w:pPr>
              <w:spacing w:after="0" w:line="240" w:lineRule="auto"/>
              <w:rPr>
                <w:color w:val="000000"/>
              </w:rPr>
            </w:pPr>
            <w:r w:rsidDel="00000000" w:rsidR="00000000" w:rsidRPr="00000000">
              <w:rPr>
                <w:rtl w:val="0"/>
              </w:rPr>
            </w:r>
          </w:p>
          <w:p w:rsidR="00000000" w:rsidDel="00000000" w:rsidP="00000000" w:rsidRDefault="00000000" w:rsidRPr="00000000" w14:paraId="00000147">
            <w:pPr>
              <w:spacing w:after="0" w:line="240" w:lineRule="auto"/>
              <w:rPr/>
            </w:pPr>
            <w:r w:rsidDel="00000000" w:rsidR="00000000" w:rsidRPr="00000000">
              <w:rPr>
                <w:rtl w:val="0"/>
              </w:rPr>
            </w:r>
          </w:p>
        </w:tc>
      </w:tr>
      <w:tr>
        <w:trPr>
          <w:trHeight w:val="280" w:hRule="atLeast"/>
        </w:trPr>
        <w:tc>
          <w:tcPr>
            <w:gridSpan w:val="4"/>
            <w:vMerge w:val="continue"/>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5"/>
            <w:vMerge w:val="continue"/>
            <w:tcBorders>
              <w:top w:color="000000" w:space="0" w:sz="0" w:val="nil"/>
              <w:left w:color="000000" w:space="0" w:sz="8" w:val="single"/>
              <w:bottom w:color="000000" w:space="0" w:sz="12" w:val="single"/>
              <w:right w:color="000000" w:space="0" w:sz="12" w:val="single"/>
            </w:tcBorders>
            <w:shd w:fill="auto" w:val="clear"/>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4"/>
            <w:vMerge w:val="continue"/>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5"/>
            <w:vMerge w:val="continue"/>
            <w:tcBorders>
              <w:top w:color="000000" w:space="0" w:sz="0" w:val="nil"/>
              <w:left w:color="000000" w:space="0" w:sz="8" w:val="single"/>
              <w:bottom w:color="000000" w:space="0" w:sz="12" w:val="single"/>
              <w:right w:color="000000" w:space="0" w:sz="12" w:val="single"/>
            </w:tcBorders>
            <w:shd w:fill="auto" w:val="clear"/>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60" w:hRule="atLeast"/>
        </w:trPr>
        <w:tc>
          <w:tcPr>
            <w:gridSpan w:val="4"/>
            <w:vMerge w:val="continue"/>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5"/>
            <w:vMerge w:val="continue"/>
            <w:tcBorders>
              <w:top w:color="000000" w:space="0" w:sz="0" w:val="nil"/>
              <w:left w:color="000000" w:space="0" w:sz="8" w:val="single"/>
              <w:bottom w:color="000000" w:space="0" w:sz="12" w:val="single"/>
              <w:right w:color="000000" w:space="0" w:sz="12" w:val="single"/>
            </w:tcBorders>
            <w:shd w:fill="auto" w:val="clear"/>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7">
            <w:pPr>
              <w:spacing w:after="0" w:line="240" w:lineRule="auto"/>
              <w:jc w:val="center"/>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8">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9">
            <w:pPr>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A">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B">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D">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F">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380" w:hRule="atLeast"/>
        </w:trPr>
        <w:tc>
          <w:tcPr>
            <w:gridSpan w:val="9"/>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170">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Ressources documentaires : </w:t>
            </w:r>
            <w:r w:rsidDel="00000000" w:rsidR="00000000" w:rsidRPr="00000000">
              <w:rPr>
                <w:rFonts w:ascii="Calibri" w:cs="Calibri" w:eastAsia="Calibri" w:hAnsi="Calibri"/>
                <w:i w:val="1"/>
                <w:color w:val="000000"/>
                <w:rtl w:val="0"/>
              </w:rPr>
              <w:t xml:space="preserve">5 ouvrages et 3 sites internet maximum</w:t>
            </w:r>
            <w:r w:rsidDel="00000000" w:rsidR="00000000" w:rsidRPr="00000000">
              <w:rPr>
                <w:rtl w:val="0"/>
              </w:rPr>
            </w:r>
          </w:p>
        </w:tc>
      </w:tr>
      <w:tr>
        <w:trPr>
          <w:trHeight w:val="500" w:hRule="atLeast"/>
        </w:trPr>
        <w:tc>
          <w:tcPr>
            <w:gridSpan w:val="9"/>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79">
            <w:pPr>
              <w:spacing w:after="0" w:line="240" w:lineRule="auto"/>
              <w:rPr>
                <w:color w:val="000000"/>
              </w:rPr>
            </w:pPr>
            <w:r w:rsidDel="00000000" w:rsidR="00000000" w:rsidRPr="00000000">
              <w:rPr>
                <w:rtl w:val="0"/>
              </w:rPr>
            </w:r>
          </w:p>
          <w:p w:rsidR="00000000" w:rsidDel="00000000" w:rsidP="00000000" w:rsidRDefault="00000000" w:rsidRPr="00000000" w14:paraId="0000017A">
            <w:pPr>
              <w:widowControl w:val="0"/>
              <w:spacing w:after="0" w:line="276" w:lineRule="auto"/>
              <w:jc w:val="both"/>
              <w:rPr/>
            </w:pPr>
            <w:r w:rsidDel="00000000" w:rsidR="00000000" w:rsidRPr="00000000">
              <w:rPr>
                <w:rtl w:val="0"/>
              </w:rPr>
              <w:t xml:space="preserve">Colsoul, A. (2010). Construction de la compétence de conduite de classe pendant la formation initiale des enseignants. </w:t>
            </w:r>
            <w:r w:rsidDel="00000000" w:rsidR="00000000" w:rsidRPr="00000000">
              <w:rPr>
                <w:i w:val="1"/>
                <w:rtl w:val="0"/>
              </w:rPr>
              <w:t xml:space="preserve">Education &amp; Formation</w:t>
            </w:r>
            <w:r w:rsidDel="00000000" w:rsidR="00000000" w:rsidRPr="00000000">
              <w:rPr>
                <w:rtl w:val="0"/>
              </w:rPr>
              <w:t xml:space="preserve">, </w:t>
            </w:r>
            <w:r w:rsidDel="00000000" w:rsidR="00000000" w:rsidRPr="00000000">
              <w:rPr>
                <w:i w:val="1"/>
                <w:rtl w:val="0"/>
              </w:rPr>
              <w:t xml:space="preserve">294</w:t>
            </w:r>
            <w:r w:rsidDel="00000000" w:rsidR="00000000" w:rsidRPr="00000000">
              <w:rPr>
                <w:rtl w:val="0"/>
              </w:rPr>
              <w:t xml:space="preserve">, 67-76.</w:t>
            </w:r>
          </w:p>
          <w:p w:rsidR="00000000" w:rsidDel="00000000" w:rsidP="00000000" w:rsidRDefault="00000000" w:rsidRPr="00000000" w14:paraId="0000017B">
            <w:pPr>
              <w:widowControl w:val="0"/>
              <w:spacing w:after="0" w:line="276" w:lineRule="auto"/>
              <w:jc w:val="both"/>
              <w:rPr/>
            </w:pPr>
            <w:r w:rsidDel="00000000" w:rsidR="00000000" w:rsidRPr="00000000">
              <w:rPr>
                <w:rtl w:val="0"/>
              </w:rPr>
              <w:t xml:space="preserve">Debarbieux, E. et </w:t>
            </w:r>
            <w:r w:rsidDel="00000000" w:rsidR="00000000" w:rsidRPr="00000000">
              <w:rPr>
                <w:i w:val="1"/>
                <w:rtl w:val="0"/>
              </w:rPr>
              <w:t xml:space="preserve">al.</w:t>
            </w:r>
            <w:r w:rsidDel="00000000" w:rsidR="00000000" w:rsidRPr="00000000">
              <w:rPr>
                <w:rtl w:val="0"/>
              </w:rPr>
              <w:t xml:space="preserve"> (2012). Le «Climat scolaire» : définition, effets et conditions d’amélioration. Rapport au Comité scientifique de la Direction de l’enseignement scolaire, Ministère de l’éducation nationale. MEN-DGESCO / Observatoire International de la Violence à l’École.</w:t>
            </w:r>
          </w:p>
          <w:p w:rsidR="00000000" w:rsidDel="00000000" w:rsidP="00000000" w:rsidRDefault="00000000" w:rsidRPr="00000000" w14:paraId="0000017C">
            <w:pPr>
              <w:widowControl w:val="0"/>
              <w:spacing w:after="0" w:line="276" w:lineRule="auto"/>
              <w:jc w:val="both"/>
              <w:rPr/>
            </w:pPr>
            <w:r w:rsidDel="00000000" w:rsidR="00000000" w:rsidRPr="00000000">
              <w:rPr>
                <w:rtl w:val="0"/>
              </w:rPr>
              <w:t xml:space="preserve">Janosz, M., Georges, P., &amp; Parent, S. (1998). L’environnement éducatif à l’école secondaire : un modèle théorique pour guider l’évaluation du milieu. </w:t>
            </w:r>
            <w:r w:rsidDel="00000000" w:rsidR="00000000" w:rsidRPr="00000000">
              <w:rPr>
                <w:i w:val="1"/>
                <w:rtl w:val="0"/>
              </w:rPr>
              <w:t xml:space="preserve">Revue Canadienne de Psychoéducation, 27(2),</w:t>
            </w:r>
            <w:r w:rsidDel="00000000" w:rsidR="00000000" w:rsidRPr="00000000">
              <w:rPr>
                <w:rtl w:val="0"/>
              </w:rPr>
              <w:t xml:space="preserve"> 285-306.</w:t>
            </w:r>
          </w:p>
          <w:p w:rsidR="00000000" w:rsidDel="00000000" w:rsidP="00000000" w:rsidRDefault="00000000" w:rsidRPr="00000000" w14:paraId="0000017D">
            <w:pPr>
              <w:widowControl w:val="0"/>
              <w:spacing w:after="0" w:line="276" w:lineRule="auto"/>
              <w:jc w:val="both"/>
              <w:rPr/>
            </w:pPr>
            <w:r w:rsidDel="00000000" w:rsidR="00000000" w:rsidRPr="00000000">
              <w:rPr>
                <w:rtl w:val="0"/>
              </w:rPr>
              <w:t xml:space="preserve">Lang V. (2014), </w:t>
            </w:r>
            <w:r w:rsidDel="00000000" w:rsidR="00000000" w:rsidRPr="00000000">
              <w:rPr>
                <w:i w:val="1"/>
                <w:rtl w:val="0"/>
              </w:rPr>
              <w:t xml:space="preserve">La professionnalisation des enseignants : enjeux actuels</w:t>
            </w:r>
            <w:r w:rsidDel="00000000" w:rsidR="00000000" w:rsidRPr="00000000">
              <w:rPr>
                <w:rtl w:val="0"/>
              </w:rPr>
              <w:t xml:space="preserve">, conférence du 29 janvier 2014, ESPE, Saint Denis de La Réunion.</w:t>
            </w:r>
          </w:p>
          <w:p w:rsidR="00000000" w:rsidDel="00000000" w:rsidP="00000000" w:rsidRDefault="00000000" w:rsidRPr="00000000" w14:paraId="0000017E">
            <w:pPr>
              <w:widowControl w:val="0"/>
              <w:spacing w:after="0" w:line="276" w:lineRule="auto"/>
              <w:jc w:val="both"/>
              <w:rPr>
                <w:color w:val="1155cc"/>
                <w:u w:val="single"/>
              </w:rPr>
            </w:pPr>
            <w:r w:rsidDel="00000000" w:rsidR="00000000" w:rsidRPr="00000000">
              <w:rPr>
                <w:rtl w:val="0"/>
              </w:rPr>
              <w:t xml:space="preserve">Pelletier, L. (2017). Analyse de discours des parents à l’« école des parents » : vous avez dit coéducation ?  </w:t>
            </w:r>
            <w:r w:rsidDel="00000000" w:rsidR="00000000" w:rsidRPr="00000000">
              <w:rPr>
                <w:i w:val="1"/>
                <w:rtl w:val="0"/>
              </w:rPr>
              <w:t xml:space="preserve">Éducation, Santé, Sociétés</w:t>
            </w:r>
            <w:r w:rsidDel="00000000" w:rsidR="00000000" w:rsidRPr="00000000">
              <w:rPr>
                <w:rtl w:val="0"/>
              </w:rPr>
              <w:t xml:space="preserve">, </w:t>
            </w:r>
            <w:r w:rsidDel="00000000" w:rsidR="00000000" w:rsidRPr="00000000">
              <w:rPr>
                <w:i w:val="1"/>
                <w:rtl w:val="0"/>
              </w:rPr>
              <w:t xml:space="preserve">3(1</w:t>
            </w:r>
            <w:r w:rsidDel="00000000" w:rsidR="00000000" w:rsidRPr="00000000">
              <w:rPr>
                <w:rtl w:val="0"/>
              </w:rPr>
              <w:t xml:space="preserve">), 119-137.</w:t>
            </w:r>
            <w:hyperlink r:id="rId6">
              <w:r w:rsidDel="00000000" w:rsidR="00000000" w:rsidRPr="00000000">
                <w:rPr>
                  <w:rtl w:val="0"/>
                </w:rPr>
                <w:t xml:space="preserve"> </w:t>
              </w:r>
            </w:hyperlink>
            <w:hyperlink r:id="rId7">
              <w:r w:rsidDel="00000000" w:rsidR="00000000" w:rsidRPr="00000000">
                <w:rPr>
                  <w:color w:val="1155cc"/>
                  <w:u w:val="single"/>
                  <w:rtl w:val="0"/>
                </w:rPr>
                <w:t xml:space="preserve">http://www.educationsantesocietes.net/#</w:t>
              </w:r>
            </w:hyperlink>
            <w:r w:rsidDel="00000000" w:rsidR="00000000" w:rsidRPr="00000000">
              <w:rPr>
                <w:rtl w:val="0"/>
              </w:rPr>
            </w:r>
          </w:p>
          <w:p w:rsidR="00000000" w:rsidDel="00000000" w:rsidP="00000000" w:rsidRDefault="00000000" w:rsidRPr="00000000" w14:paraId="0000017F">
            <w:pPr>
              <w:widowControl w:val="0"/>
              <w:spacing w:after="0" w:line="276" w:lineRule="auto"/>
              <w:jc w:val="both"/>
              <w:rPr/>
            </w:pPr>
            <w:r w:rsidDel="00000000" w:rsidR="00000000" w:rsidRPr="00000000">
              <w:rPr>
                <w:rtl w:val="0"/>
              </w:rPr>
              <w:t xml:space="preserve">Perrenoud P. (2000), Métier d’élève et sens du travail scolaire, Paris : ESF.</w:t>
            </w:r>
          </w:p>
          <w:p w:rsidR="00000000" w:rsidDel="00000000" w:rsidP="00000000" w:rsidRDefault="00000000" w:rsidRPr="00000000" w14:paraId="00000180">
            <w:pPr>
              <w:widowControl w:val="0"/>
              <w:spacing w:after="0" w:line="276" w:lineRule="auto"/>
              <w:jc w:val="both"/>
              <w:rPr/>
            </w:pPr>
            <w:r w:rsidDel="00000000" w:rsidR="00000000" w:rsidRPr="00000000">
              <w:rPr>
                <w:rtl w:val="0"/>
              </w:rPr>
              <w:t xml:space="preserve">Sauvage-Luntadi, L. et Tupin, F. (2012). La compétence de contextualisation au cœur de la situation d’enseignement-apprentissage. </w:t>
            </w:r>
            <w:r w:rsidDel="00000000" w:rsidR="00000000" w:rsidRPr="00000000">
              <w:rPr>
                <w:i w:val="1"/>
                <w:rtl w:val="0"/>
              </w:rPr>
              <w:t xml:space="preserve">Phronesis</w:t>
            </w:r>
            <w:r w:rsidDel="00000000" w:rsidR="00000000" w:rsidRPr="00000000">
              <w:rPr>
                <w:rtl w:val="0"/>
              </w:rPr>
              <w:t xml:space="preserve">, </w:t>
            </w:r>
            <w:r w:rsidDel="00000000" w:rsidR="00000000" w:rsidRPr="00000000">
              <w:rPr>
                <w:i w:val="1"/>
                <w:rtl w:val="0"/>
              </w:rPr>
              <w:t xml:space="preserve">1(1)</w:t>
            </w:r>
            <w:r w:rsidDel="00000000" w:rsidR="00000000" w:rsidRPr="00000000">
              <w:rPr>
                <w:rtl w:val="0"/>
              </w:rPr>
              <w:t xml:space="preserve">, 102-117. </w:t>
            </w:r>
          </w:p>
          <w:p w:rsidR="00000000" w:rsidDel="00000000" w:rsidP="00000000" w:rsidRDefault="00000000" w:rsidRPr="00000000" w14:paraId="00000181">
            <w:pPr>
              <w:widowControl w:val="0"/>
              <w:spacing w:after="0" w:line="240" w:lineRule="auto"/>
              <w:jc w:val="both"/>
              <w:rPr/>
            </w:pPr>
            <w:r w:rsidDel="00000000" w:rsidR="00000000" w:rsidRPr="00000000">
              <w:rPr>
                <w:rtl w:val="0"/>
              </w:rPr>
            </w:r>
          </w:p>
          <w:p w:rsidR="00000000" w:rsidDel="00000000" w:rsidP="00000000" w:rsidRDefault="00000000" w:rsidRPr="00000000" w14:paraId="00000182">
            <w:pPr>
              <w:widowControl w:val="0"/>
              <w:spacing w:after="0" w:line="240" w:lineRule="auto"/>
              <w:rPr>
                <w:rFonts w:ascii="Times" w:cs="Times" w:eastAsia="Times" w:hAnsi="Times"/>
                <w:sz w:val="24"/>
                <w:szCs w:val="24"/>
              </w:rPr>
            </w:pPr>
            <w:r w:rsidDel="00000000" w:rsidR="00000000" w:rsidRPr="00000000">
              <w:rPr>
                <w:rtl w:val="0"/>
              </w:rPr>
            </w:r>
          </w:p>
        </w:tc>
      </w:tr>
      <w:tr>
        <w:trPr>
          <w:trHeight w:val="280" w:hRule="atLeast"/>
        </w:trPr>
        <w:tc>
          <w:tcPr>
            <w:gridSpan w:val="9"/>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4"/>
                <w:szCs w:val="24"/>
              </w:rPr>
            </w:pPr>
            <w:r w:rsidDel="00000000" w:rsidR="00000000" w:rsidRPr="00000000">
              <w:rPr>
                <w:rtl w:val="0"/>
              </w:rPr>
            </w:r>
          </w:p>
        </w:tc>
      </w:tr>
      <w:tr>
        <w:trPr>
          <w:trHeight w:val="280" w:hRule="atLeast"/>
        </w:trPr>
        <w:tc>
          <w:tcPr>
            <w:gridSpan w:val="9"/>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4"/>
                <w:szCs w:val="24"/>
              </w:rPr>
            </w:pPr>
            <w:r w:rsidDel="00000000" w:rsidR="00000000" w:rsidRPr="00000000">
              <w:rPr>
                <w:rtl w:val="0"/>
              </w:rPr>
            </w:r>
          </w:p>
        </w:tc>
      </w:tr>
      <w:tr>
        <w:trPr>
          <w:trHeight w:val="320" w:hRule="atLeast"/>
        </w:trPr>
        <w:tc>
          <w:tcPr>
            <w:gridSpan w:val="9"/>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4"/>
                <w:szCs w:val="24"/>
              </w:rPr>
            </w:pPr>
            <w:r w:rsidDel="00000000" w:rsidR="00000000" w:rsidRPr="00000000">
              <w:rPr>
                <w:rtl w:val="0"/>
              </w:rPr>
            </w:r>
          </w:p>
        </w:tc>
      </w:tr>
      <w:tr>
        <w:trPr>
          <w:trHeight w:val="300" w:hRule="atLeast"/>
        </w:trPr>
        <w:tc>
          <w:tcPr>
            <w:gridSpan w:val="9"/>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4"/>
                <w:szCs w:val="24"/>
              </w:rPr>
            </w:pPr>
            <w:r w:rsidDel="00000000" w:rsidR="00000000" w:rsidRPr="00000000">
              <w:rPr>
                <w:rtl w:val="0"/>
              </w:rPr>
            </w:r>
          </w:p>
        </w:tc>
      </w:tr>
    </w:tbl>
    <w:p w:rsidR="00000000" w:rsidDel="00000000" w:rsidP="00000000" w:rsidRDefault="00000000" w:rsidRPr="00000000" w14:paraId="000001AF">
      <w:pPr>
        <w:rPr/>
      </w:pPr>
      <w:r w:rsidDel="00000000" w:rsidR="00000000" w:rsidRPr="00000000">
        <w:rPr>
          <w:rtl w:val="0"/>
        </w:rPr>
      </w:r>
    </w:p>
    <w:sectPr>
      <w:pgSz w:h="16838" w:w="11906"/>
      <w:pgMar w:bottom="289" w:top="454" w:left="454" w:right="45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Times"/>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ducationsantesocietes.net/" TargetMode="External"/><Relationship Id="rId7" Type="http://schemas.openxmlformats.org/officeDocument/2006/relationships/hyperlink" Target="http://www.educationsantesocietes.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