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C100C" w14:textId="77777777" w:rsidR="00366274" w:rsidRPr="00AC01F4" w:rsidRDefault="00366274" w:rsidP="0036627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276"/>
        <w:gridCol w:w="87"/>
        <w:gridCol w:w="4874"/>
      </w:tblGrid>
      <w:tr w:rsidR="00366274" w:rsidRPr="00F17E26" w14:paraId="4274BE9C" w14:textId="77777777" w:rsidTr="007F069F">
        <w:tc>
          <w:tcPr>
            <w:tcW w:w="4873" w:type="dxa"/>
            <w:gridSpan w:val="4"/>
          </w:tcPr>
          <w:p w14:paraId="1D703EE7" w14:textId="77777777" w:rsidR="00366274" w:rsidRPr="00F17E26" w:rsidRDefault="00366274" w:rsidP="007F069F">
            <w:pPr>
              <w:jc w:val="both"/>
              <w:rPr>
                <w:rFonts w:eastAsia="MS Mincho"/>
                <w:b/>
              </w:rPr>
            </w:pPr>
            <w:r w:rsidRPr="00F17E26">
              <w:rPr>
                <w:b/>
                <w:color w:val="000000"/>
              </w:rPr>
              <w:t>IDENTIFICATION UE : TC V1 E2</w:t>
            </w:r>
          </w:p>
        </w:tc>
        <w:tc>
          <w:tcPr>
            <w:tcW w:w="4874" w:type="dxa"/>
          </w:tcPr>
          <w:p w14:paraId="7629F3A4" w14:textId="77777777" w:rsidR="00366274" w:rsidRPr="00F17E26" w:rsidRDefault="00366274" w:rsidP="007F069F">
            <w:pPr>
              <w:jc w:val="both"/>
              <w:rPr>
                <w:rFonts w:eastAsia="MS Mincho"/>
                <w:b/>
              </w:rPr>
            </w:pPr>
            <w:r w:rsidRPr="00F17E26">
              <w:rPr>
                <w:rFonts w:eastAsia="MS Mincho"/>
                <w:b/>
              </w:rPr>
              <w:t xml:space="preserve">Code : </w:t>
            </w:r>
          </w:p>
        </w:tc>
      </w:tr>
      <w:tr w:rsidR="00366274" w:rsidRPr="00F17E26" w14:paraId="74E954E2" w14:textId="77777777" w:rsidTr="007F069F">
        <w:tc>
          <w:tcPr>
            <w:tcW w:w="9747" w:type="dxa"/>
            <w:gridSpan w:val="5"/>
          </w:tcPr>
          <w:p w14:paraId="13C12D08" w14:textId="77777777" w:rsidR="00366274" w:rsidRPr="00F17E26" w:rsidRDefault="00366274" w:rsidP="007F069F">
            <w:pPr>
              <w:jc w:val="both"/>
              <w:rPr>
                <w:rFonts w:eastAsia="MS Mincho"/>
                <w:b/>
              </w:rPr>
            </w:pPr>
            <w:r w:rsidRPr="00F17E26">
              <w:rPr>
                <w:b/>
                <w:color w:val="000000"/>
              </w:rPr>
              <w:t>Intitulé : Connaître les élèves et les processus d'apprentissage</w:t>
            </w:r>
          </w:p>
        </w:tc>
      </w:tr>
      <w:tr w:rsidR="00366274" w:rsidRPr="00F17E26" w14:paraId="0864ED16" w14:textId="77777777" w:rsidTr="007F069F">
        <w:tc>
          <w:tcPr>
            <w:tcW w:w="2235" w:type="dxa"/>
          </w:tcPr>
          <w:p w14:paraId="366A5F28" w14:textId="77777777" w:rsidR="00366274" w:rsidRPr="00F17E26" w:rsidRDefault="00366274" w:rsidP="007F069F">
            <w:pPr>
              <w:jc w:val="both"/>
              <w:rPr>
                <w:rFonts w:eastAsia="MS Mincho"/>
              </w:rPr>
            </w:pPr>
            <w:r w:rsidRPr="00F17E26">
              <w:rPr>
                <w:color w:val="000000"/>
              </w:rPr>
              <w:t>Volume horaire :</w:t>
            </w:r>
          </w:p>
        </w:tc>
        <w:tc>
          <w:tcPr>
            <w:tcW w:w="1275" w:type="dxa"/>
          </w:tcPr>
          <w:p w14:paraId="29D16184" w14:textId="77777777" w:rsidR="00366274" w:rsidRPr="00F17E26" w:rsidRDefault="00366274" w:rsidP="007F069F">
            <w:pPr>
              <w:jc w:val="both"/>
              <w:rPr>
                <w:rFonts w:eastAsia="MS Mincho"/>
              </w:rPr>
            </w:pPr>
            <w:r w:rsidRPr="00F17E26">
              <w:rPr>
                <w:color w:val="000000"/>
              </w:rPr>
              <w:t>8 h CM</w:t>
            </w:r>
          </w:p>
        </w:tc>
        <w:tc>
          <w:tcPr>
            <w:tcW w:w="1276" w:type="dxa"/>
          </w:tcPr>
          <w:p w14:paraId="6096D294" w14:textId="77777777" w:rsidR="00366274" w:rsidRPr="00F17E26" w:rsidRDefault="00366274" w:rsidP="007F069F">
            <w:pPr>
              <w:jc w:val="both"/>
              <w:rPr>
                <w:rFonts w:eastAsia="MS Mincho"/>
              </w:rPr>
            </w:pPr>
            <w:r w:rsidRPr="00F17E26">
              <w:rPr>
                <w:color w:val="000000"/>
              </w:rPr>
              <w:t>4 h TD</w:t>
            </w:r>
          </w:p>
        </w:tc>
        <w:tc>
          <w:tcPr>
            <w:tcW w:w="4961" w:type="dxa"/>
            <w:gridSpan w:val="2"/>
          </w:tcPr>
          <w:p w14:paraId="15195880" w14:textId="77777777" w:rsidR="00366274" w:rsidRPr="00F17E26" w:rsidRDefault="00366274" w:rsidP="007F069F">
            <w:pPr>
              <w:jc w:val="both"/>
              <w:rPr>
                <w:rFonts w:eastAsia="MS Mincho"/>
              </w:rPr>
            </w:pPr>
            <w:r w:rsidRPr="00F17E26">
              <w:rPr>
                <w:rFonts w:eastAsia="MS Mincho"/>
              </w:rPr>
              <w:t>ECTS : 1</w:t>
            </w:r>
          </w:p>
        </w:tc>
      </w:tr>
      <w:tr w:rsidR="00366274" w:rsidRPr="00F17E26" w14:paraId="54D460E4" w14:textId="77777777" w:rsidTr="007F069F">
        <w:tc>
          <w:tcPr>
            <w:tcW w:w="2235" w:type="dxa"/>
            <w:vMerge w:val="restart"/>
          </w:tcPr>
          <w:p w14:paraId="22E81C84" w14:textId="77777777" w:rsidR="00366274" w:rsidRPr="00F17E26" w:rsidRDefault="00366274" w:rsidP="007F069F">
            <w:pPr>
              <w:jc w:val="both"/>
              <w:rPr>
                <w:rFonts w:eastAsia="MS Mincho"/>
              </w:rPr>
            </w:pPr>
            <w:r w:rsidRPr="00F17E26">
              <w:rPr>
                <w:rFonts w:eastAsia="MS Mincho"/>
              </w:rPr>
              <w:t>Intervenants ESPE</w:t>
            </w:r>
          </w:p>
        </w:tc>
        <w:tc>
          <w:tcPr>
            <w:tcW w:w="2551" w:type="dxa"/>
            <w:gridSpan w:val="2"/>
            <w:vAlign w:val="bottom"/>
          </w:tcPr>
          <w:p w14:paraId="3D9ABE48" w14:textId="77777777" w:rsidR="00366274" w:rsidRPr="00F17E26" w:rsidRDefault="00366274" w:rsidP="007F069F">
            <w:pPr>
              <w:jc w:val="both"/>
              <w:rPr>
                <w:rFonts w:eastAsia="MS Mincho"/>
              </w:rPr>
            </w:pPr>
            <w:r w:rsidRPr="00F17E26">
              <w:rPr>
                <w:rFonts w:eastAsia="MS Mincho" w:cs="Arial"/>
                <w:bCs/>
                <w:color w:val="222222"/>
                <w:shd w:val="clear" w:color="auto" w:fill="FFFFFF"/>
              </w:rPr>
              <w:t>Michaël Vauthier</w:t>
            </w:r>
          </w:p>
        </w:tc>
        <w:tc>
          <w:tcPr>
            <w:tcW w:w="4961" w:type="dxa"/>
            <w:gridSpan w:val="2"/>
            <w:vAlign w:val="bottom"/>
          </w:tcPr>
          <w:p w14:paraId="7482B12F" w14:textId="77777777" w:rsidR="00366274" w:rsidRPr="00F17E26" w:rsidRDefault="00366274" w:rsidP="007F069F">
            <w:pPr>
              <w:jc w:val="both"/>
              <w:rPr>
                <w:rFonts w:eastAsia="MS Mincho"/>
              </w:rPr>
            </w:pPr>
            <w:r w:rsidRPr="00F17E26">
              <w:t>courriel :</w:t>
            </w:r>
            <w:r w:rsidRPr="00F17E26">
              <w:rPr>
                <w:rFonts w:eastAsia="MS Mincho" w:cs="Arial"/>
                <w:shd w:val="clear" w:color="auto" w:fill="FFFFFF"/>
              </w:rPr>
              <w:t xml:space="preserve"> michael.vauthier@univ-reunion.fr</w:t>
            </w:r>
          </w:p>
        </w:tc>
      </w:tr>
      <w:tr w:rsidR="00366274" w:rsidRPr="00F17E26" w14:paraId="26741152" w14:textId="77777777" w:rsidTr="007F069F">
        <w:tc>
          <w:tcPr>
            <w:tcW w:w="2235" w:type="dxa"/>
            <w:vMerge/>
          </w:tcPr>
          <w:p w14:paraId="7295FEBD" w14:textId="77777777" w:rsidR="00366274" w:rsidRPr="00F17E26" w:rsidRDefault="00366274" w:rsidP="007F069F">
            <w:pPr>
              <w:jc w:val="both"/>
              <w:rPr>
                <w:rFonts w:eastAsia="MS Mincho"/>
              </w:rPr>
            </w:pPr>
          </w:p>
        </w:tc>
        <w:tc>
          <w:tcPr>
            <w:tcW w:w="2551" w:type="dxa"/>
            <w:gridSpan w:val="2"/>
            <w:vAlign w:val="bottom"/>
          </w:tcPr>
          <w:p w14:paraId="7F5A98C9" w14:textId="77777777" w:rsidR="00366274" w:rsidRPr="00F17E26" w:rsidRDefault="00366274" w:rsidP="007F069F">
            <w:pPr>
              <w:jc w:val="both"/>
              <w:rPr>
                <w:rFonts w:eastAsia="MS Mincho"/>
              </w:rPr>
            </w:pPr>
            <w:r w:rsidRPr="00F17E26">
              <w:rPr>
                <w:color w:val="000000"/>
              </w:rPr>
              <w:t>Philippe Clauzard </w:t>
            </w:r>
          </w:p>
        </w:tc>
        <w:tc>
          <w:tcPr>
            <w:tcW w:w="4961" w:type="dxa"/>
            <w:gridSpan w:val="2"/>
            <w:vAlign w:val="bottom"/>
          </w:tcPr>
          <w:p w14:paraId="51A4483C" w14:textId="77777777" w:rsidR="00366274" w:rsidRPr="00F17E26" w:rsidRDefault="00366274" w:rsidP="007F069F">
            <w:pPr>
              <w:jc w:val="both"/>
              <w:rPr>
                <w:rFonts w:eastAsia="MS Mincho"/>
              </w:rPr>
            </w:pPr>
            <w:r w:rsidRPr="00F17E26">
              <w:rPr>
                <w:color w:val="000000"/>
              </w:rPr>
              <w:t>courriel :</w:t>
            </w:r>
            <w:r w:rsidRPr="00F17E26">
              <w:t xml:space="preserve"> Philippe.Clauzard</w:t>
            </w:r>
            <w:r w:rsidRPr="00F17E26">
              <w:rPr>
                <w:rFonts w:eastAsia="MS Mincho" w:cs="Arial"/>
                <w:shd w:val="clear" w:color="auto" w:fill="FFFFFF"/>
              </w:rPr>
              <w:t>@univ-reunion.fr</w:t>
            </w:r>
          </w:p>
        </w:tc>
      </w:tr>
      <w:tr w:rsidR="00366274" w:rsidRPr="00F17E26" w14:paraId="5B0922DB" w14:textId="77777777" w:rsidTr="007F069F">
        <w:tc>
          <w:tcPr>
            <w:tcW w:w="2235" w:type="dxa"/>
            <w:vMerge/>
          </w:tcPr>
          <w:p w14:paraId="4DC9435E" w14:textId="77777777" w:rsidR="00366274" w:rsidRPr="00F17E26" w:rsidRDefault="00366274" w:rsidP="007F069F">
            <w:pPr>
              <w:jc w:val="both"/>
              <w:rPr>
                <w:rFonts w:eastAsia="MS Mincho"/>
              </w:rPr>
            </w:pPr>
          </w:p>
        </w:tc>
        <w:tc>
          <w:tcPr>
            <w:tcW w:w="2551" w:type="dxa"/>
            <w:gridSpan w:val="2"/>
          </w:tcPr>
          <w:p w14:paraId="3D2A390D" w14:textId="77777777" w:rsidR="00366274" w:rsidRPr="00F17E26" w:rsidRDefault="00366274" w:rsidP="007F069F">
            <w:pPr>
              <w:jc w:val="both"/>
              <w:rPr>
                <w:rFonts w:eastAsia="MS Mincho"/>
              </w:rPr>
            </w:pPr>
          </w:p>
        </w:tc>
        <w:tc>
          <w:tcPr>
            <w:tcW w:w="4961" w:type="dxa"/>
            <w:gridSpan w:val="2"/>
          </w:tcPr>
          <w:p w14:paraId="17DB81A4" w14:textId="77777777" w:rsidR="00366274" w:rsidRPr="00F17E26" w:rsidRDefault="00366274" w:rsidP="007F069F">
            <w:pPr>
              <w:jc w:val="both"/>
              <w:rPr>
                <w:rFonts w:eastAsia="MS Mincho"/>
              </w:rPr>
            </w:pPr>
          </w:p>
        </w:tc>
      </w:tr>
      <w:tr w:rsidR="00366274" w:rsidRPr="00F17E26" w14:paraId="0EFEEA3A" w14:textId="77777777" w:rsidTr="007F069F">
        <w:tc>
          <w:tcPr>
            <w:tcW w:w="2235" w:type="dxa"/>
            <w:vMerge/>
          </w:tcPr>
          <w:p w14:paraId="088B00D5" w14:textId="77777777" w:rsidR="00366274" w:rsidRPr="00F17E26" w:rsidRDefault="00366274" w:rsidP="007F069F">
            <w:pPr>
              <w:jc w:val="both"/>
              <w:rPr>
                <w:rFonts w:eastAsia="MS Mincho"/>
              </w:rPr>
            </w:pPr>
          </w:p>
        </w:tc>
        <w:tc>
          <w:tcPr>
            <w:tcW w:w="2551" w:type="dxa"/>
            <w:gridSpan w:val="2"/>
          </w:tcPr>
          <w:p w14:paraId="57AB939D" w14:textId="77777777" w:rsidR="00366274" w:rsidRPr="00F17E26" w:rsidRDefault="00366274" w:rsidP="007F069F">
            <w:pPr>
              <w:jc w:val="both"/>
              <w:rPr>
                <w:rFonts w:eastAsia="MS Mincho"/>
              </w:rPr>
            </w:pPr>
          </w:p>
        </w:tc>
        <w:tc>
          <w:tcPr>
            <w:tcW w:w="4961" w:type="dxa"/>
            <w:gridSpan w:val="2"/>
          </w:tcPr>
          <w:p w14:paraId="6C4ADCA0" w14:textId="77777777" w:rsidR="00366274" w:rsidRPr="00F17E26" w:rsidRDefault="00366274" w:rsidP="007F069F">
            <w:pPr>
              <w:jc w:val="both"/>
              <w:rPr>
                <w:rFonts w:eastAsia="MS Mincho"/>
              </w:rPr>
            </w:pPr>
          </w:p>
        </w:tc>
      </w:tr>
    </w:tbl>
    <w:p w14:paraId="646C6F89" w14:textId="77777777" w:rsidR="00366274" w:rsidRPr="00AC01F4" w:rsidRDefault="00366274" w:rsidP="00366274">
      <w:pPr>
        <w:pStyle w:val="Pardeliste1"/>
        <w:widowControl w:val="0"/>
        <w:autoSpaceDE w:val="0"/>
        <w:autoSpaceDN w:val="0"/>
        <w:adjustRightInd w:val="0"/>
        <w:jc w:val="both"/>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6274" w:rsidRPr="00F17E26" w14:paraId="261C0FAD" w14:textId="77777777" w:rsidTr="007F069F">
        <w:trPr>
          <w:trHeight w:val="279"/>
        </w:trPr>
        <w:tc>
          <w:tcPr>
            <w:tcW w:w="9747" w:type="dxa"/>
          </w:tcPr>
          <w:p w14:paraId="2EFFCB03" w14:textId="77777777" w:rsidR="00366274" w:rsidRPr="00F17E26" w:rsidRDefault="00366274" w:rsidP="007F069F">
            <w:pPr>
              <w:jc w:val="both"/>
              <w:rPr>
                <w:i/>
                <w:iCs/>
                <w:color w:val="000000"/>
              </w:rPr>
            </w:pPr>
            <w:r w:rsidRPr="00F17E26">
              <w:rPr>
                <w:color w:val="000000"/>
              </w:rPr>
              <w:t>Compétences visées :</w:t>
            </w:r>
          </w:p>
        </w:tc>
      </w:tr>
      <w:tr w:rsidR="00366274" w:rsidRPr="00F17E26" w14:paraId="6BD2D9A9" w14:textId="77777777" w:rsidTr="007F069F">
        <w:tc>
          <w:tcPr>
            <w:tcW w:w="9747" w:type="dxa"/>
          </w:tcPr>
          <w:p w14:paraId="1D9234AB" w14:textId="77777777" w:rsidR="00366274" w:rsidRPr="00F17E26" w:rsidRDefault="00366274" w:rsidP="007F069F">
            <w:pPr>
              <w:rPr>
                <w:iCs/>
                <w:color w:val="000000"/>
              </w:rPr>
            </w:pPr>
            <w:r w:rsidRPr="00F17E26">
              <w:rPr>
                <w:iCs/>
                <w:color w:val="000000"/>
              </w:rPr>
              <w:t xml:space="preserve">Les objectifs du TC sont de : </w:t>
            </w:r>
          </w:p>
          <w:p w14:paraId="0CFB4F47" w14:textId="77777777" w:rsidR="00366274" w:rsidRPr="00F17E26" w:rsidRDefault="00366274" w:rsidP="007F069F">
            <w:pPr>
              <w:jc w:val="both"/>
              <w:rPr>
                <w:rFonts w:eastAsia="MS Mincho"/>
              </w:rPr>
            </w:pPr>
            <w:r w:rsidRPr="00F17E26">
              <w:rPr>
                <w:rFonts w:eastAsia="MS Mincho"/>
              </w:rPr>
              <w:t>- Connaître et comprendre les concepts fondamentaux de la psychologie de l'enfant et de l'adolescent.</w:t>
            </w:r>
          </w:p>
          <w:p w14:paraId="201D1164" w14:textId="77777777" w:rsidR="00366274" w:rsidRPr="00F17E26" w:rsidRDefault="00366274" w:rsidP="007F069F">
            <w:pPr>
              <w:rPr>
                <w:rFonts w:eastAsia="MS Mincho"/>
              </w:rPr>
            </w:pPr>
            <w:r w:rsidRPr="00F17E26">
              <w:rPr>
                <w:rFonts w:eastAsia="MS Mincho"/>
              </w:rPr>
              <w:t>- Connaître les processus et les mécanismes d'apprentissage, en prenant en compte les apports de la recherche.</w:t>
            </w:r>
          </w:p>
          <w:p w14:paraId="1630DE75" w14:textId="77777777" w:rsidR="00366274" w:rsidRPr="00F17E26" w:rsidRDefault="00366274" w:rsidP="007F069F">
            <w:pPr>
              <w:rPr>
                <w:iCs/>
                <w:color w:val="000000"/>
              </w:rPr>
            </w:pPr>
            <w:r w:rsidRPr="00F17E26">
              <w:rPr>
                <w:rFonts w:eastAsia="MS Mincho"/>
              </w:rPr>
              <w:t>- Comprendre les dimensions cognitive, affective et relationnelle de l'enseignement et de l'action éducative.</w:t>
            </w:r>
          </w:p>
        </w:tc>
      </w:tr>
    </w:tbl>
    <w:p w14:paraId="12F51A37" w14:textId="77777777" w:rsidR="00366274" w:rsidRPr="00AC01F4" w:rsidRDefault="00366274" w:rsidP="00366274">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6274" w:rsidRPr="00F17E26" w14:paraId="49A4D6DE" w14:textId="77777777" w:rsidTr="007F069F">
        <w:tc>
          <w:tcPr>
            <w:tcW w:w="9747" w:type="dxa"/>
          </w:tcPr>
          <w:p w14:paraId="5FFB6028" w14:textId="77777777" w:rsidR="00366274" w:rsidRPr="00F17E26" w:rsidRDefault="00366274" w:rsidP="007F069F">
            <w:pPr>
              <w:jc w:val="both"/>
              <w:rPr>
                <w:rFonts w:eastAsia="MS Mincho"/>
              </w:rPr>
            </w:pPr>
            <w:r w:rsidRPr="00F17E26">
              <w:rPr>
                <w:color w:val="000000"/>
              </w:rPr>
              <w:t>Objectifs : Pour les étudiants…</w:t>
            </w:r>
          </w:p>
        </w:tc>
      </w:tr>
      <w:tr w:rsidR="00366274" w:rsidRPr="00F17E26" w14:paraId="2A93F4E9" w14:textId="77777777" w:rsidTr="007F069F">
        <w:tc>
          <w:tcPr>
            <w:tcW w:w="9747" w:type="dxa"/>
          </w:tcPr>
          <w:p w14:paraId="53D3D18C" w14:textId="77777777" w:rsidR="00366274" w:rsidRPr="00F17E26" w:rsidRDefault="00366274" w:rsidP="007F069F">
            <w:pPr>
              <w:jc w:val="both"/>
              <w:rPr>
                <w:iCs/>
                <w:color w:val="000000"/>
              </w:rPr>
            </w:pPr>
            <w:r w:rsidRPr="00F17E26">
              <w:rPr>
                <w:rFonts w:eastAsia="MS Mincho"/>
              </w:rPr>
              <w:t>Les objectifs sont de comprendre les diverses théories de l’apprentissage et leur traduction en terme pédagogique en classe. Connaître la différence entre pédagogie et didactique ainsi que les principales notions afférentes (pédagogie différenciée, relation pédagogique, contrat didactique, transposition didactique, situations didactiques, zone proche de développement, étayage…).</w:t>
            </w:r>
          </w:p>
          <w:p w14:paraId="001ACBF8" w14:textId="77777777" w:rsidR="00366274" w:rsidRPr="00F17E26" w:rsidRDefault="00366274" w:rsidP="007F069F">
            <w:pPr>
              <w:pStyle w:val="Normalweb"/>
              <w:spacing w:before="0" w:beforeAutospacing="0" w:after="0"/>
              <w:jc w:val="both"/>
              <w:rPr>
                <w:rFonts w:ascii="Cambria" w:eastAsia="MS Mincho" w:hAnsi="Cambria"/>
                <w:sz w:val="22"/>
                <w:szCs w:val="22"/>
              </w:rPr>
            </w:pPr>
            <w:r w:rsidRPr="00F17E26">
              <w:rPr>
                <w:rFonts w:ascii="Cambria" w:eastAsia="MS Mincho" w:hAnsi="Cambria"/>
                <w:sz w:val="22"/>
                <w:szCs w:val="22"/>
              </w:rPr>
              <w:t xml:space="preserve">Il s’agit de plus à travers les concepts fondamentaux de psychologie du développement de comprendre les élèves dans leurs besoins en situation d’apprentissage afin de pouvoir : </w:t>
            </w:r>
          </w:p>
          <w:p w14:paraId="1F0F8FFC" w14:textId="77777777" w:rsidR="00366274" w:rsidRPr="00F17E26" w:rsidRDefault="00366274" w:rsidP="007F069F">
            <w:pPr>
              <w:pStyle w:val="Normalweb"/>
              <w:spacing w:before="0" w:beforeAutospacing="0" w:after="0"/>
              <w:jc w:val="both"/>
              <w:rPr>
                <w:rFonts w:ascii="Cambria" w:eastAsia="MS Mincho" w:hAnsi="Cambria"/>
                <w:sz w:val="22"/>
                <w:szCs w:val="22"/>
              </w:rPr>
            </w:pPr>
            <w:r w:rsidRPr="00F17E26">
              <w:rPr>
                <w:rFonts w:ascii="Cambria" w:eastAsia="MS Mincho" w:hAnsi="Cambria"/>
                <w:sz w:val="22"/>
                <w:szCs w:val="22"/>
              </w:rPr>
              <w:t>-</w:t>
            </w:r>
            <w:r w:rsidRPr="00F17E26">
              <w:rPr>
                <w:rFonts w:ascii="Cambria" w:eastAsia="MS Mincho" w:hAnsi="Cambria" w:cs="Verdana"/>
                <w:i/>
                <w:sz w:val="22"/>
                <w:szCs w:val="22"/>
              </w:rPr>
              <w:t xml:space="preserve"> </w:t>
            </w:r>
            <w:r w:rsidRPr="00F17E26">
              <w:rPr>
                <w:rFonts w:ascii="Cambria" w:eastAsia="MS Mincho" w:hAnsi="Cambria"/>
                <w:sz w:val="22"/>
                <w:szCs w:val="22"/>
              </w:rPr>
              <w:t>Installer avec les élèves une relation de confiance et de bienveillance.</w:t>
            </w:r>
          </w:p>
          <w:p w14:paraId="33137471" w14:textId="77777777" w:rsidR="00366274" w:rsidRPr="00F17E26" w:rsidRDefault="00366274" w:rsidP="007F069F">
            <w:pPr>
              <w:pStyle w:val="Normalweb"/>
              <w:spacing w:before="0" w:beforeAutospacing="0" w:after="0"/>
              <w:jc w:val="both"/>
              <w:rPr>
                <w:rFonts w:ascii="Cambria" w:eastAsia="MS Mincho" w:hAnsi="Cambria"/>
                <w:sz w:val="22"/>
                <w:szCs w:val="22"/>
              </w:rPr>
            </w:pPr>
            <w:r w:rsidRPr="00F17E26">
              <w:rPr>
                <w:rFonts w:ascii="Cambria" w:eastAsia="MS Mincho" w:hAnsi="Cambria"/>
                <w:sz w:val="22"/>
                <w:szCs w:val="22"/>
              </w:rPr>
              <w:t>- Maintenir un climat propice à l'apprentissage et un mode de fonctionnement efficace et pertinent pour les activités.</w:t>
            </w:r>
          </w:p>
          <w:p w14:paraId="0C66D644" w14:textId="77777777" w:rsidR="00366274" w:rsidRDefault="00366274" w:rsidP="007F069F">
            <w:pPr>
              <w:jc w:val="both"/>
              <w:rPr>
                <w:rFonts w:eastAsia="MS Mincho"/>
              </w:rPr>
            </w:pPr>
            <w:r w:rsidRPr="00F17E26">
              <w:rPr>
                <w:rFonts w:eastAsia="MS Mincho"/>
              </w:rPr>
              <w:t>- Rendre explicites pour les élèves les objectifs visés et construire avec eux le sens des apprentissages : former des concepts.</w:t>
            </w:r>
          </w:p>
          <w:p w14:paraId="60369F8E" w14:textId="77777777" w:rsidR="00366274" w:rsidRPr="00F17E26" w:rsidRDefault="00366274" w:rsidP="007F069F">
            <w:pPr>
              <w:jc w:val="both"/>
              <w:rPr>
                <w:rFonts w:eastAsia="MS Mincho"/>
              </w:rPr>
            </w:pPr>
            <w:r>
              <w:rPr>
                <w:rFonts w:eastAsia="MS Mincho"/>
              </w:rPr>
              <w:t xml:space="preserve">- Etre sensibilisés à l’innovation pédagogique. </w:t>
            </w:r>
          </w:p>
        </w:tc>
      </w:tr>
    </w:tbl>
    <w:p w14:paraId="09275ED2" w14:textId="77777777" w:rsidR="00366274" w:rsidRPr="00AC01F4" w:rsidRDefault="00366274" w:rsidP="00366274">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6274" w:rsidRPr="00F17E26" w14:paraId="6CF1C656" w14:textId="77777777" w:rsidTr="007F069F">
        <w:tc>
          <w:tcPr>
            <w:tcW w:w="9747" w:type="dxa"/>
          </w:tcPr>
          <w:p w14:paraId="466D5F67" w14:textId="77777777" w:rsidR="00366274" w:rsidRPr="00F17E26" w:rsidRDefault="00366274" w:rsidP="007F069F">
            <w:pPr>
              <w:jc w:val="both"/>
              <w:rPr>
                <w:rFonts w:eastAsia="MS Mincho"/>
              </w:rPr>
            </w:pPr>
            <w:r w:rsidRPr="00F17E26">
              <w:rPr>
                <w:color w:val="000000"/>
              </w:rPr>
              <w:t xml:space="preserve">Contenu pédagogique : </w:t>
            </w:r>
            <w:r w:rsidRPr="00F17E26">
              <w:t>"</w:t>
            </w:r>
            <w:r w:rsidRPr="00F17E26">
              <w:rPr>
                <w:u w:val="single"/>
              </w:rPr>
              <w:t>Notions abordées et modalités pédagogiques</w:t>
            </w:r>
            <w:r w:rsidRPr="00F17E26">
              <w:t>".</w:t>
            </w:r>
          </w:p>
        </w:tc>
      </w:tr>
      <w:tr w:rsidR="00366274" w:rsidRPr="00F17E26" w14:paraId="4C55E8BE" w14:textId="77777777" w:rsidTr="007F069F">
        <w:tc>
          <w:tcPr>
            <w:tcW w:w="9747" w:type="dxa"/>
          </w:tcPr>
          <w:p w14:paraId="1252BBDE" w14:textId="77777777" w:rsidR="00366274" w:rsidRPr="00F17E26" w:rsidRDefault="00366274" w:rsidP="007F069F">
            <w:pPr>
              <w:jc w:val="both"/>
              <w:rPr>
                <w:iCs/>
                <w:color w:val="000000"/>
              </w:rPr>
            </w:pPr>
            <w:r w:rsidRPr="00F17E26">
              <w:rPr>
                <w:iCs/>
                <w:color w:val="000000"/>
              </w:rPr>
              <w:t>Psychologie de l’enfant et de l’adolescent. Concept de résilience scolaire. Environnement social et réussite scolaire. Définition des liens entre apprentissage et enseignement. Processus de l’acte de transmission et de l’acte d’appropriation du savoir en termes de connaissances et d’attitudes. Formes et modèles d’apprentissage (modèles réflexologique, cognitiviste, constructiviste et socio-con</w:t>
            </w:r>
            <w:r>
              <w:rPr>
                <w:iCs/>
                <w:color w:val="000000"/>
              </w:rPr>
              <w:t xml:space="preserve">structiviste, connexionniste). </w:t>
            </w:r>
            <w:r w:rsidRPr="00F17E26">
              <w:rPr>
                <w:iCs/>
                <w:color w:val="000000"/>
              </w:rPr>
              <w:t>Opérations cognitives pour apprendre, assimilation et accommodation. Triangle pédagogique et didactique, relation pédagogique et transposition didactique. Zone proche de développement. Conflits cognitifs et socio-cognitifs, secondarisation et métacognition. Régulations et étayages en cours et dans l’espace scolaire. Techniques pédagogiques pour la classe et l’établissement. Techniques actives/passives.</w:t>
            </w:r>
          </w:p>
          <w:p w14:paraId="0AFDF969" w14:textId="77777777" w:rsidR="00366274" w:rsidRPr="00F17E26" w:rsidRDefault="00366274" w:rsidP="007F069F">
            <w:pPr>
              <w:jc w:val="both"/>
              <w:rPr>
                <w:iCs/>
                <w:color w:val="000000"/>
              </w:rPr>
            </w:pPr>
            <w:r w:rsidRPr="00F17E26">
              <w:rPr>
                <w:iCs/>
                <w:color w:val="000000"/>
              </w:rPr>
              <w:lastRenderedPageBreak/>
              <w:t>Lors des T.D., le discours généraliste des CM sera traduit selon les préoccupations particulières des PE, PLC, PLC EPS et CPE (avec les thématiques par exemple de la situation-problème, de la sanction éducative…).</w:t>
            </w:r>
          </w:p>
        </w:tc>
      </w:tr>
    </w:tbl>
    <w:p w14:paraId="16CE9253" w14:textId="77777777" w:rsidR="00366274" w:rsidRPr="00AC01F4" w:rsidRDefault="00366274" w:rsidP="00366274">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144"/>
      </w:tblGrid>
      <w:tr w:rsidR="00366274" w:rsidRPr="00F17E26" w14:paraId="06E925DD" w14:textId="77777777" w:rsidTr="007F069F">
        <w:tc>
          <w:tcPr>
            <w:tcW w:w="9747" w:type="dxa"/>
            <w:gridSpan w:val="2"/>
          </w:tcPr>
          <w:p w14:paraId="0DD030B4" w14:textId="77777777" w:rsidR="00366274" w:rsidRPr="00F17E26" w:rsidRDefault="00366274" w:rsidP="007F069F">
            <w:pPr>
              <w:jc w:val="both"/>
              <w:rPr>
                <w:rFonts w:eastAsia="MS Mincho"/>
              </w:rPr>
            </w:pPr>
            <w:r w:rsidRPr="00F17E26">
              <w:rPr>
                <w:color w:val="000000"/>
              </w:rPr>
              <w:t>Modalités d'évaluation des connaissances et des compétences</w:t>
            </w:r>
          </w:p>
        </w:tc>
      </w:tr>
      <w:tr w:rsidR="00366274" w:rsidRPr="00F17E26" w14:paraId="6132134D" w14:textId="77777777" w:rsidTr="007F069F">
        <w:tc>
          <w:tcPr>
            <w:tcW w:w="4603" w:type="dxa"/>
          </w:tcPr>
          <w:p w14:paraId="395E32CD" w14:textId="77777777" w:rsidR="00366274" w:rsidRPr="00F17E26" w:rsidRDefault="00366274" w:rsidP="007F069F">
            <w:pPr>
              <w:jc w:val="both"/>
              <w:rPr>
                <w:color w:val="000000"/>
              </w:rPr>
            </w:pPr>
            <w:r w:rsidRPr="00F17E26">
              <w:rPr>
                <w:color w:val="000000"/>
              </w:rPr>
              <w:t>1</w:t>
            </w:r>
            <w:r w:rsidRPr="00F17E26">
              <w:rPr>
                <w:color w:val="000000"/>
                <w:vertAlign w:val="superscript"/>
              </w:rPr>
              <w:t>ère</w:t>
            </w:r>
            <w:r w:rsidRPr="00F17E26">
              <w:rPr>
                <w:color w:val="000000"/>
              </w:rPr>
              <w:t xml:space="preserve"> session :</w:t>
            </w:r>
          </w:p>
          <w:p w14:paraId="6DCFC00E" w14:textId="77777777" w:rsidR="00366274" w:rsidRPr="00F17E26" w:rsidRDefault="00366274" w:rsidP="007F069F">
            <w:pPr>
              <w:jc w:val="both"/>
              <w:rPr>
                <w:rFonts w:eastAsia="MS Mincho"/>
              </w:rPr>
            </w:pPr>
            <w:r w:rsidRPr="00F17E26">
              <w:rPr>
                <w:rFonts w:eastAsia="MS Mincho" w:cs="Arial"/>
                <w:i/>
              </w:rPr>
              <w:t>C’est le modèle du dossier réflexif qui est choisi. C’est un choix d’évaluation formative. La philosophie est de f</w:t>
            </w:r>
            <w:r w:rsidRPr="00F17E26">
              <w:rPr>
                <w:rFonts w:eastAsia="MS Mincho" w:cs="Arial"/>
                <w:bCs/>
                <w:i/>
                <w:color w:val="000000"/>
              </w:rPr>
              <w:t xml:space="preserve">avoriser une articulation théorico-pratique entre l’enseignement reçu et la pratique de stage. Favoriser une dynamique de confrontation de points de vue (conflit sociocognitif) par un échange mutuel. </w:t>
            </w:r>
            <w:r w:rsidRPr="00F17E26">
              <w:rPr>
                <w:rFonts w:eastAsia="MS Mincho" w:cs="Arial"/>
                <w:i/>
                <w:color w:val="000000"/>
              </w:rPr>
              <w:t>La validation du TC s’appuiera sur un travail en 3 temps : la tenue d’un journal d’observation et la tenue d’un journal de comprentissage avec un travail collectif de synthèse. Seulement les synthèses individuelles et collectives seront rendues pour les corrections.</w:t>
            </w:r>
          </w:p>
        </w:tc>
        <w:tc>
          <w:tcPr>
            <w:tcW w:w="5144" w:type="dxa"/>
          </w:tcPr>
          <w:p w14:paraId="5607D444" w14:textId="77777777" w:rsidR="00366274" w:rsidRPr="00F17E26" w:rsidRDefault="00366274" w:rsidP="007F069F">
            <w:pPr>
              <w:jc w:val="both"/>
              <w:rPr>
                <w:color w:val="000000"/>
              </w:rPr>
            </w:pPr>
            <w:r w:rsidRPr="00F17E26">
              <w:rPr>
                <w:color w:val="000000"/>
              </w:rPr>
              <w:t>2</w:t>
            </w:r>
            <w:r w:rsidRPr="00F17E26">
              <w:rPr>
                <w:color w:val="000000"/>
                <w:vertAlign w:val="superscript"/>
              </w:rPr>
              <w:t>ème</w:t>
            </w:r>
            <w:r w:rsidRPr="00F17E26">
              <w:rPr>
                <w:color w:val="000000"/>
              </w:rPr>
              <w:t xml:space="preserve"> session : devoir sur table.</w:t>
            </w:r>
          </w:p>
          <w:p w14:paraId="05672639" w14:textId="77777777" w:rsidR="00366274" w:rsidRPr="00F17E26" w:rsidRDefault="00366274" w:rsidP="007F069F">
            <w:pPr>
              <w:jc w:val="both"/>
              <w:rPr>
                <w:rFonts w:eastAsia="MS Mincho"/>
              </w:rPr>
            </w:pPr>
          </w:p>
        </w:tc>
      </w:tr>
    </w:tbl>
    <w:p w14:paraId="591B4C75" w14:textId="77777777" w:rsidR="00366274" w:rsidRPr="00AC01F4" w:rsidRDefault="00366274" w:rsidP="00366274">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366274" w:rsidRPr="00F17E26" w14:paraId="4DBAF3C8" w14:textId="77777777" w:rsidTr="007F069F">
        <w:tc>
          <w:tcPr>
            <w:tcW w:w="9747" w:type="dxa"/>
          </w:tcPr>
          <w:p w14:paraId="07511C65" w14:textId="77777777" w:rsidR="00366274" w:rsidRPr="00F17E26" w:rsidRDefault="00366274" w:rsidP="007F069F">
            <w:pPr>
              <w:jc w:val="both"/>
              <w:rPr>
                <w:i/>
                <w:iCs/>
                <w:color w:val="000000"/>
              </w:rPr>
            </w:pPr>
            <w:r w:rsidRPr="00F17E26">
              <w:rPr>
                <w:color w:val="000000"/>
              </w:rPr>
              <w:t xml:space="preserve">Ressources documentaires : </w:t>
            </w:r>
          </w:p>
        </w:tc>
      </w:tr>
      <w:tr w:rsidR="00366274" w:rsidRPr="00F17E26" w14:paraId="11F79065" w14:textId="77777777" w:rsidTr="007F069F">
        <w:tc>
          <w:tcPr>
            <w:tcW w:w="9747" w:type="dxa"/>
          </w:tcPr>
          <w:p w14:paraId="18271620" w14:textId="77777777" w:rsidR="00366274" w:rsidRPr="00F17E26" w:rsidRDefault="00366274" w:rsidP="007F069F">
            <w:pPr>
              <w:rPr>
                <w:iCs/>
                <w:color w:val="000000"/>
              </w:rPr>
            </w:pPr>
            <w:r w:rsidRPr="00F17E26">
              <w:rPr>
                <w:iCs/>
                <w:color w:val="000000"/>
              </w:rPr>
              <w:t xml:space="preserve">- BOURGEOIS E. &amp; CHAPELLE G. </w:t>
            </w:r>
            <w:r w:rsidRPr="00F17E26">
              <w:rPr>
                <w:i/>
                <w:iCs/>
                <w:color w:val="000000"/>
              </w:rPr>
              <w:t>Apprendre et faire apprendre</w:t>
            </w:r>
            <w:r w:rsidRPr="00F17E26">
              <w:rPr>
                <w:iCs/>
                <w:color w:val="000000"/>
              </w:rPr>
              <w:t>, PUF, 2006.</w:t>
            </w:r>
          </w:p>
          <w:p w14:paraId="2E8894A1" w14:textId="77777777" w:rsidR="00366274" w:rsidRPr="00F17E26" w:rsidRDefault="00366274" w:rsidP="007F069F">
            <w:pPr>
              <w:rPr>
                <w:iCs/>
                <w:color w:val="000000"/>
              </w:rPr>
            </w:pPr>
            <w:r w:rsidRPr="00F17E26">
              <w:rPr>
                <w:iCs/>
                <w:color w:val="000000"/>
              </w:rPr>
              <w:t xml:space="preserve">- CHABANNE Jean-Luc. </w:t>
            </w:r>
            <w:r w:rsidRPr="00F17E26">
              <w:rPr>
                <w:i/>
                <w:iCs/>
                <w:color w:val="000000"/>
              </w:rPr>
              <w:t>Les difficultés scolaires d’apprentissage,</w:t>
            </w:r>
            <w:r w:rsidRPr="00F17E26">
              <w:rPr>
                <w:iCs/>
                <w:color w:val="000000"/>
              </w:rPr>
              <w:t xml:space="preserve"> Nathan Université, 2005.</w:t>
            </w:r>
          </w:p>
          <w:p w14:paraId="48BAB782" w14:textId="77777777" w:rsidR="00366274" w:rsidRPr="00F17E26" w:rsidRDefault="00366274" w:rsidP="007F069F">
            <w:pPr>
              <w:rPr>
                <w:iCs/>
                <w:color w:val="000000"/>
              </w:rPr>
            </w:pPr>
            <w:r w:rsidRPr="00F17E26">
              <w:rPr>
                <w:iCs/>
                <w:color w:val="000000"/>
              </w:rPr>
              <w:t xml:space="preserve">- HERVIEU-WANE Fabrice. </w:t>
            </w:r>
            <w:r w:rsidRPr="00F17E26">
              <w:rPr>
                <w:i/>
                <w:iCs/>
                <w:color w:val="000000"/>
              </w:rPr>
              <w:t>Guide du jeune enseignant</w:t>
            </w:r>
            <w:r w:rsidRPr="00F17E26">
              <w:rPr>
                <w:iCs/>
                <w:color w:val="000000"/>
              </w:rPr>
              <w:t>, Editions Sciences Humaines, 2011.</w:t>
            </w:r>
          </w:p>
          <w:p w14:paraId="3E1ED9F5" w14:textId="77777777" w:rsidR="00366274" w:rsidRPr="00F17E26" w:rsidRDefault="00366274" w:rsidP="007F069F">
            <w:pPr>
              <w:rPr>
                <w:iCs/>
                <w:color w:val="000000"/>
              </w:rPr>
            </w:pPr>
            <w:r w:rsidRPr="00F17E26">
              <w:rPr>
                <w:iCs/>
                <w:color w:val="000000"/>
              </w:rPr>
              <w:t xml:space="preserve">- MARSOLLIER C. </w:t>
            </w:r>
            <w:r w:rsidRPr="00F17E26">
              <w:rPr>
                <w:i/>
                <w:iCs/>
                <w:color w:val="000000"/>
              </w:rPr>
              <w:t>Enseigne avec ton cœur</w:t>
            </w:r>
            <w:r w:rsidRPr="00F17E26">
              <w:rPr>
                <w:iCs/>
                <w:color w:val="000000"/>
              </w:rPr>
              <w:t>. Chronique sociale, Lyon, 2011.</w:t>
            </w:r>
          </w:p>
          <w:p w14:paraId="409C5CC7" w14:textId="77777777" w:rsidR="00366274" w:rsidRPr="00F17E26" w:rsidRDefault="00366274" w:rsidP="007F069F">
            <w:r w:rsidRPr="00F17E26">
              <w:t xml:space="preserve">- MERRI M. &amp; PICHAT M. </w:t>
            </w:r>
            <w:r w:rsidRPr="00F17E26">
              <w:rPr>
                <w:i/>
              </w:rPr>
              <w:t>Psychologie de l’éducation</w:t>
            </w:r>
            <w:r w:rsidRPr="00F17E26">
              <w:t>, tome 1, l’école. Bréal, 2007.</w:t>
            </w:r>
          </w:p>
          <w:p w14:paraId="49A010CA" w14:textId="77777777" w:rsidR="00366274" w:rsidRPr="00F17E26" w:rsidRDefault="00366274" w:rsidP="007F069F">
            <w:pPr>
              <w:rPr>
                <w:rFonts w:eastAsia="MS Mincho"/>
              </w:rPr>
            </w:pPr>
            <w:r w:rsidRPr="00F17E26">
              <w:rPr>
                <w:rFonts w:eastAsia="MS Mincho"/>
              </w:rPr>
              <w:t xml:space="preserve">- </w:t>
            </w:r>
            <w:r w:rsidRPr="00F17E26">
              <w:rPr>
                <w:rFonts w:eastAsia="MS Mincho"/>
                <w:b/>
              </w:rPr>
              <w:t xml:space="preserve">Site de Philippe Meirieu : </w:t>
            </w:r>
            <w:hyperlink r:id="rId7" w:history="1">
              <w:r w:rsidRPr="00F17E26">
                <w:rPr>
                  <w:rStyle w:val="Lienhypertexte"/>
                  <w:rFonts w:eastAsia="MS Mincho"/>
                  <w:b/>
                </w:rPr>
                <w:t>http://www.meirieu.com</w:t>
              </w:r>
            </w:hyperlink>
          </w:p>
          <w:p w14:paraId="1CB0EEB3" w14:textId="77777777" w:rsidR="00366274" w:rsidRPr="00F17E26" w:rsidRDefault="00366274" w:rsidP="007F069F">
            <w:r w:rsidRPr="00F17E26">
              <w:t xml:space="preserve">- </w:t>
            </w:r>
            <w:r w:rsidRPr="00F17E26">
              <w:rPr>
                <w:iCs/>
                <w:color w:val="000000"/>
              </w:rPr>
              <w:t xml:space="preserve">Site de recherche « des outils pour entrer dans le métier » : </w:t>
            </w:r>
            <w:hyperlink r:id="rId8" w:history="1">
              <w:r w:rsidRPr="00F17E26">
                <w:rPr>
                  <w:rStyle w:val="Lienhypertexte"/>
                  <w:iCs/>
                </w:rPr>
                <w:t>http://neo.ens-lyon.fr/neo</w:t>
              </w:r>
            </w:hyperlink>
            <w:r w:rsidRPr="00F17E26">
              <w:rPr>
                <w:iCs/>
                <w:color w:val="000000"/>
              </w:rPr>
              <w:t xml:space="preserve">                                                                                                                                                     </w:t>
            </w:r>
            <w:r w:rsidRPr="00F17E26">
              <w:rPr>
                <w:rFonts w:eastAsia="MS Mincho"/>
              </w:rPr>
              <w:t xml:space="preserve">- Site d’un praticien PE – petit abécédaire de l’école : </w:t>
            </w:r>
            <w:hyperlink r:id="rId9" w:history="1">
              <w:r w:rsidRPr="00F17E26">
                <w:rPr>
                  <w:rStyle w:val="Lienhypertexte"/>
                  <w:rFonts w:eastAsia="MS Mincho"/>
                </w:rPr>
                <w:t>http://bdemauge.free.fr/index.htm</w:t>
              </w:r>
            </w:hyperlink>
            <w:r w:rsidRPr="00F17E26">
              <w:rPr>
                <w:rFonts w:eastAsia="MS Mincho"/>
                <w:b/>
              </w:rPr>
              <w:t xml:space="preserve"> </w:t>
            </w:r>
          </w:p>
          <w:p w14:paraId="4AC21049" w14:textId="77777777" w:rsidR="00366274" w:rsidRPr="00F17E26" w:rsidRDefault="00366274" w:rsidP="007F069F">
            <w:pPr>
              <w:rPr>
                <w:rFonts w:eastAsia="MS Mincho"/>
              </w:rPr>
            </w:pPr>
          </w:p>
        </w:tc>
      </w:tr>
    </w:tbl>
    <w:p w14:paraId="616B3E4B" w14:textId="77777777" w:rsidR="00366274" w:rsidRPr="00AC01F4" w:rsidRDefault="00366274" w:rsidP="00366274"/>
    <w:p w14:paraId="6A41A7A6" w14:textId="77777777" w:rsidR="00366274" w:rsidRDefault="00366274" w:rsidP="00366274">
      <w:r w:rsidRPr="00AC01F4">
        <w:br w:type="page"/>
      </w:r>
    </w:p>
    <w:p w14:paraId="73C9746D" w14:textId="77777777" w:rsidR="00431B38" w:rsidRPr="00366274" w:rsidRDefault="00431B38" w:rsidP="00366274">
      <w:bookmarkStart w:id="0" w:name="_GoBack"/>
      <w:bookmarkEnd w:id="0"/>
    </w:p>
    <w:sectPr w:rsidR="00431B38" w:rsidRPr="00366274">
      <w:headerReference w:type="default" r:id="rId10"/>
      <w:pgSz w:w="11906" w:h="16838"/>
      <w:pgMar w:top="454" w:right="454" w:bottom="289" w:left="45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79147" w14:textId="77777777" w:rsidR="00AC591A" w:rsidRDefault="00AC591A">
      <w:pPr>
        <w:spacing w:after="0" w:line="240" w:lineRule="auto"/>
      </w:pPr>
      <w:r>
        <w:separator/>
      </w:r>
    </w:p>
  </w:endnote>
  <w:endnote w:type="continuationSeparator" w:id="0">
    <w:p w14:paraId="2D4A9FE6" w14:textId="77777777" w:rsidR="00AC591A" w:rsidRDefault="00AC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7E5D7" w14:textId="77777777" w:rsidR="00AC591A" w:rsidRDefault="00AC591A">
      <w:pPr>
        <w:spacing w:after="0" w:line="240" w:lineRule="auto"/>
      </w:pPr>
      <w:r>
        <w:separator/>
      </w:r>
    </w:p>
  </w:footnote>
  <w:footnote w:type="continuationSeparator" w:id="0">
    <w:p w14:paraId="2ED5FCCB" w14:textId="77777777" w:rsidR="00AC591A" w:rsidRDefault="00AC59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80F30" w14:textId="77777777" w:rsidR="00431B38" w:rsidRDefault="00AC591A">
    <w:pPr>
      <w:pBdr>
        <w:top w:val="nil"/>
        <w:left w:val="nil"/>
        <w:bottom w:val="nil"/>
        <w:right w:val="nil"/>
        <w:between w:val="nil"/>
      </w:pBdr>
      <w:tabs>
        <w:tab w:val="center" w:pos="4536"/>
        <w:tab w:val="right" w:pos="9072"/>
      </w:tabs>
      <w:spacing w:after="0" w:line="240" w:lineRule="auto"/>
      <w:rPr>
        <w:b/>
        <w:color w:val="000000"/>
      </w:rPr>
    </w:pPr>
    <w:r>
      <w:rPr>
        <w:b/>
        <w:color w:val="000000"/>
      </w:rPr>
      <w:t>SYLLABUS MASTER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3123"/>
    <w:multiLevelType w:val="multilevel"/>
    <w:tmpl w:val="AA7CCEC0"/>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F732D24"/>
    <w:multiLevelType w:val="multilevel"/>
    <w:tmpl w:val="E10AC054"/>
    <w:lvl w:ilvl="0">
      <w:start w:val="1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38"/>
    <w:rsid w:val="00366274"/>
    <w:rsid w:val="00431B38"/>
    <w:rsid w:val="00AC5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3561D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customStyle="1" w:styleId="Pardeliste1">
    <w:name w:val="Par. de liste1"/>
    <w:basedOn w:val="Normal"/>
    <w:uiPriority w:val="34"/>
    <w:qFormat/>
    <w:rsid w:val="00366274"/>
    <w:pPr>
      <w:spacing w:after="0" w:line="240" w:lineRule="auto"/>
      <w:ind w:left="720"/>
      <w:contextualSpacing/>
    </w:pPr>
    <w:rPr>
      <w:rFonts w:ascii="Cambria" w:eastAsia="MS ??" w:hAnsi="Cambria" w:cs="Times New Roman"/>
      <w:sz w:val="24"/>
      <w:szCs w:val="24"/>
    </w:rPr>
  </w:style>
  <w:style w:type="character" w:styleId="Lienhypertexte">
    <w:name w:val="Hyperlink"/>
    <w:uiPriority w:val="99"/>
    <w:unhideWhenUsed/>
    <w:rsid w:val="00366274"/>
    <w:rPr>
      <w:rFonts w:cs="Times New Roman"/>
      <w:color w:val="0000FF"/>
      <w:u w:val="single"/>
    </w:rPr>
  </w:style>
  <w:style w:type="paragraph" w:styleId="Normalweb">
    <w:name w:val="Normal (Web)"/>
    <w:basedOn w:val="Normal"/>
    <w:uiPriority w:val="99"/>
    <w:unhideWhenUsed/>
    <w:rsid w:val="00366274"/>
    <w:pPr>
      <w:spacing w:before="100" w:beforeAutospacing="1" w:after="119" w:line="240" w:lineRule="auto"/>
    </w:pPr>
    <w:rPr>
      <w:rFonts w:ascii="Times" w:eastAsia="MS ??"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irieu.com" TargetMode="External"/><Relationship Id="rId8" Type="http://schemas.openxmlformats.org/officeDocument/2006/relationships/hyperlink" Target="http://neo.ens-lyon.fr/neo" TargetMode="External"/><Relationship Id="rId9" Type="http://schemas.openxmlformats.org/officeDocument/2006/relationships/hyperlink" Target="http://bdemauge.free.fr/index.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3729</Characters>
  <Application>Microsoft Macintosh Word</Application>
  <DocSecurity>0</DocSecurity>
  <Lines>31</Lines>
  <Paragraphs>8</Paragraphs>
  <ScaleCrop>false</ScaleCrop>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2019-09-25T10:42:00Z</dcterms:created>
  <dcterms:modified xsi:type="dcterms:W3CDTF">2019-09-25T10:42:00Z</dcterms:modified>
</cp:coreProperties>
</file>