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</w:t>
            </w: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 TCV1E1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rtl w:val="0"/>
              </w:rPr>
              <w:t xml:space="preserve">Connaissance du système éducatif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…0..h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 </w:t>
            </w:r>
            <w:r w:rsidDel="00000000" w:rsidR="00000000" w:rsidRPr="00000000">
              <w:rPr>
                <w:color w:val="000000"/>
                <w:rtl w:val="0"/>
              </w:rPr>
              <w:t xml:space="preserve">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Azzedine SI MOUSSA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azzedine.simoussa@univ-reunion.fr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 contenu du cours est disponible en ligne sur le site cap-concours de la MAIF.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L’onglet “Système éducatif” regroupe, notamment,  les rubriques suivantes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Grands principes, réformes et organisation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Principes fondamentaux du service public d’éducation, organisation et missions du MEN, lois d’orientation, coût de l’éducation, décentralisation, socle commun, éducation prioritaire, orientation, enseignement professionnel, démocratie lycéenne, réforme du baccalauréat….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 fonctionnement des établissements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établissements du 1er et 2nd degré, règlement intérieur, projet d’école, projet d’établissement, discipline, droits et obligations des élèves, restauration scolaire...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Les acteurs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enseignants, l’inspection, les personnels de direction, les personnels non enseignants, la place des parents à l’école...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Les dispositifs spécifiques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rythmes scolaires, la lutte contre l’échec scolaire, l’inclusion scolaire, l’éducation à la santé, l’EDD, la violence en milieu scolaire, la prévention du harcèlement...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Cette UE a pour objectif de permettre aux étudiants d’accéder aux connaissances de base relatives au système éducatif, connaissances indispensables à la construction d’une culture professionnelle partagée.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Pour les étudiants du 1er degré, il s’agit en outre d’acquérir une base de connaissances destinée à la préparation de l’oral professionnel du CRPE.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Ces connaissances favorisent le cheminement vers une future maîtrise des compétences du référentiel des métiers du professorat et de l’éducation :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Faire partager les valeurs de la République ;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Inscrire son action dans le cadre des principes fondamentaux du système éducatif et dans le cadre réglementaire de l'école ;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Prendre en compte la diversité des élèves ;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Accompagner les élèves dans leur parcours de formation ;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Agir en éducateur responsable et selon des principes éthiques ;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 Coopérer au sein d'une équipe ;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 Contribuer à l'action de la communauté éducative ;</w:t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 Coopérer avec les parents d'élèves ;</w:t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Coopérer avec les partenaires de l'école ;</w:t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QCM </w:t>
            </w:r>
            <w:r w:rsidDel="00000000" w:rsidR="00000000" w:rsidRPr="00000000">
              <w:rPr>
                <w:rtl w:val="0"/>
              </w:rPr>
              <w:t xml:space="preserve">en ligne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QCM en l</w:t>
            </w:r>
            <w:r w:rsidDel="00000000" w:rsidR="00000000" w:rsidRPr="00000000">
              <w:rPr>
                <w:rtl w:val="0"/>
              </w:rPr>
              <w:t xml:space="preserve">igne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  <w:shd w:fill="f9f9f9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9f9f9" w:val="clear"/>
                <w:rtl w:val="0"/>
              </w:rPr>
              <w:t xml:space="preserve">Garnier, Bruno,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shd w:fill="f9f9f9" w:val="clear"/>
                <w:rtl w:val="0"/>
              </w:rPr>
              <w:t xml:space="preserve">Les grands enjeux du système éducatif français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9f9f9" w:val="clear"/>
                <w:rtl w:val="0"/>
              </w:rPr>
              <w:t xml:space="preserve">, 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9f9f9" w:val="clear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9f9f9" w:val="clear"/>
                <w:rtl w:val="0"/>
              </w:rPr>
              <w:t xml:space="preserve"> édition refondue, Paris, Dunod, 2017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f9f9f9" w:val="clear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color w:val="3232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23232"/>
                <w:sz w:val="20"/>
                <w:szCs w:val="20"/>
                <w:highlight w:val="white"/>
                <w:rtl w:val="0"/>
              </w:rPr>
              <w:t xml:space="preserve">Maria Vasconcellos éd.,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323232"/>
                <w:sz w:val="20"/>
                <w:szCs w:val="20"/>
                <w:highlight w:val="white"/>
                <w:rtl w:val="0"/>
              </w:rPr>
              <w:t xml:space="preserve">Le système éducatif. </w:t>
            </w:r>
            <w:r w:rsidDel="00000000" w:rsidR="00000000" w:rsidRPr="00000000">
              <w:rPr>
                <w:rFonts w:ascii="Arial" w:cs="Arial" w:eastAsia="Arial" w:hAnsi="Arial"/>
                <w:color w:val="323232"/>
                <w:sz w:val="20"/>
                <w:szCs w:val="20"/>
                <w:highlight w:val="white"/>
                <w:rtl w:val="0"/>
              </w:rPr>
              <w:t xml:space="preserve">La Découverte, 2013,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Arial" w:cs="Arial" w:eastAsia="Arial" w:hAnsi="Arial"/>
                <w:color w:val="3232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23232"/>
                <w:sz w:val="20"/>
                <w:szCs w:val="20"/>
                <w:highlight w:val="white"/>
                <w:rtl w:val="0"/>
              </w:rPr>
              <w:t xml:space="preserve">Auduc, Jean-Louis, Le système éducatif français aujourd'hui : de la maternelle à la terminale : un état des lieux, Hachette Education, 2019.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Arial" w:cs="Arial" w:eastAsia="Arial" w:hAnsi="Arial"/>
                <w:color w:val="3232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23232"/>
                <w:sz w:val="20"/>
                <w:szCs w:val="20"/>
                <w:highlight w:val="white"/>
                <w:rtl w:val="0"/>
              </w:rPr>
              <w:t xml:space="preserve">Site EDUSCOL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https://eduscol.education.fr/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Arial" w:cs="Arial" w:eastAsia="Arial" w:hAnsi="Arial"/>
                <w:color w:val="3232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TC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scol.education.fr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