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Norm1"/>
        <w:tblW w:w="1105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CE3A78" w:rsidRPr="00CD19A1" w14:paraId="3D4D35DC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305EBB89" w14:textId="334ABA2C" w:rsidR="00CE3A78" w:rsidRPr="00FC6DF2" w:rsidRDefault="0052644D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>
              <w:rPr>
                <w:rFonts w:ascii="Arial Black" w:hAnsi="Arial Black"/>
                <w:color w:val="000000"/>
                <w:lang w:eastAsia="fr-FR"/>
              </w:rPr>
              <w:t xml:space="preserve">IDENTIFICATION DU COURS : UE </w:t>
            </w:r>
            <w:r w:rsidR="001B19A9">
              <w:rPr>
                <w:rFonts w:ascii="Arial Black" w:hAnsi="Arial Black"/>
                <w:color w:val="000000"/>
                <w:lang w:eastAsia="fr-FR"/>
              </w:rPr>
              <w:t>TCV2E2</w:t>
            </w:r>
          </w:p>
        </w:tc>
      </w:tr>
      <w:tr w:rsidR="00CE3A78" w:rsidRPr="00CD19A1" w14:paraId="16D1D643" w14:textId="77777777">
        <w:trPr>
          <w:trHeight w:val="307"/>
        </w:trPr>
        <w:tc>
          <w:tcPr>
            <w:tcW w:w="834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81083" w14:textId="1D4CA8EC" w:rsidR="00CE3A78" w:rsidRPr="00FC6DF2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Intitulé : </w:t>
            </w:r>
            <w:r w:rsidR="006A64E2" w:rsidRPr="00F17E26">
              <w:rPr>
                <w:rFonts w:eastAsia="MS Mincho" w:cs="Lucida Grande"/>
                <w:b/>
                <w:color w:val="000000"/>
              </w:rPr>
              <w:t>Maîtriser le numérique : s'informer, se former et former avec le numérique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43E5863" w14:textId="77777777" w:rsidR="00CE3A78" w:rsidRPr="0097306C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97306C">
              <w:rPr>
                <w:color w:val="000000"/>
                <w:lang w:eastAsia="fr-FR"/>
              </w:rPr>
              <w:t xml:space="preserve">Code : </w:t>
            </w:r>
          </w:p>
        </w:tc>
      </w:tr>
      <w:tr w:rsidR="00CE3A78" w:rsidRPr="00CD19A1" w14:paraId="15F70FC9" w14:textId="77777777">
        <w:trPr>
          <w:trHeight w:val="292"/>
        </w:trPr>
        <w:tc>
          <w:tcPr>
            <w:tcW w:w="292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158B67" w14:textId="7871E9BA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Volume horaire :</w:t>
            </w:r>
            <w:r w:rsidR="006A64E2">
              <w:rPr>
                <w:color w:val="000000"/>
                <w:lang w:eastAsia="fr-FR"/>
              </w:rPr>
              <w:t xml:space="preserve"> 10h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91B7B2" w14:textId="7795F6A3" w:rsidR="00CE3A78" w:rsidRPr="00FC6DF2" w:rsidRDefault="008C7649" w:rsidP="00FC6DF2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4</w:t>
            </w:r>
            <w:r w:rsidR="00CE3A78" w:rsidRPr="00FC6DF2">
              <w:rPr>
                <w:color w:val="000000"/>
                <w:lang w:eastAsia="fr-FR"/>
              </w:rPr>
              <w:t>h CM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411A3A" w14:textId="4F23D24F" w:rsidR="00CE3A78" w:rsidRPr="00FC6DF2" w:rsidRDefault="008C7649" w:rsidP="00F87634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6</w:t>
            </w:r>
            <w:r w:rsidR="00CE3A78" w:rsidRPr="00FC6DF2">
              <w:rPr>
                <w:color w:val="000000"/>
                <w:lang w:eastAsia="fr-FR"/>
              </w:rPr>
              <w:t xml:space="preserve"> h TD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818DB" w14:textId="77777777" w:rsidR="00CE3A78" w:rsidRPr="00FC6DF2" w:rsidRDefault="00CE3A78" w:rsidP="00FC6DF2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E7814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center"/>
          </w:tcPr>
          <w:p w14:paraId="73516E08" w14:textId="54D50087" w:rsidR="00CE3A78" w:rsidRPr="00FC6DF2" w:rsidRDefault="00AF6320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COEFF : </w:t>
            </w:r>
            <w:r w:rsidR="001B19A9">
              <w:rPr>
                <w:color w:val="000000"/>
                <w:lang w:eastAsia="fr-FR"/>
              </w:rPr>
              <w:t>1</w:t>
            </w:r>
          </w:p>
        </w:tc>
      </w:tr>
      <w:tr w:rsidR="008C7649" w:rsidRPr="00CD19A1" w14:paraId="21B76E81" w14:textId="77777777" w:rsidTr="004760A1">
        <w:trPr>
          <w:trHeight w:val="292"/>
        </w:trPr>
        <w:tc>
          <w:tcPr>
            <w:tcW w:w="56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554A2" w14:textId="63E12AB8" w:rsidR="008C7649" w:rsidRPr="00FC6DF2" w:rsidRDefault="008C7649" w:rsidP="008C7649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Responsable de l'UE</w:t>
            </w:r>
            <w:r>
              <w:rPr>
                <w:color w:val="000000"/>
                <w:lang w:eastAsia="fr-FR"/>
              </w:rPr>
              <w:t xml:space="preserve"> : </w:t>
            </w:r>
            <w:r w:rsidRPr="00F17E26">
              <w:rPr>
                <w:rFonts w:eastAsia="MS Mincho"/>
              </w:rPr>
              <w:t>Jean Simon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</w:tcPr>
          <w:p w14:paraId="2D2C90B0" w14:textId="4993B18E" w:rsidR="008C7649" w:rsidRPr="00FC6DF2" w:rsidRDefault="008C7649" w:rsidP="008C7649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Courriel : jean.simon@univ-reunion.fr</w:t>
            </w:r>
          </w:p>
        </w:tc>
      </w:tr>
      <w:tr w:rsidR="008C7649" w:rsidRPr="00CD19A1" w14:paraId="5748A0D9" w14:textId="77777777">
        <w:trPr>
          <w:trHeight w:val="292"/>
        </w:trPr>
        <w:tc>
          <w:tcPr>
            <w:tcW w:w="17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14:paraId="1517180B" w14:textId="77777777" w:rsidR="008C7649" w:rsidRPr="00FC6DF2" w:rsidRDefault="008C7649" w:rsidP="008C764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Intervenants :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214EB" w14:textId="58E13CC0" w:rsidR="008C7649" w:rsidRPr="00FC6DF2" w:rsidRDefault="008C7649" w:rsidP="008C764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Laurent Pierre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14E95AAF" w14:textId="528EE0F4" w:rsidR="008C7649" w:rsidRPr="00FC6DF2" w:rsidRDefault="008C7649" w:rsidP="008C7649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courriel : </w:t>
            </w:r>
            <w:r>
              <w:rPr>
                <w:color w:val="000000"/>
                <w:lang w:eastAsia="fr-FR"/>
              </w:rPr>
              <w:t>laurent.</w:t>
            </w:r>
            <w:r w:rsidR="0052644D">
              <w:rPr>
                <w:color w:val="000000"/>
                <w:lang w:eastAsia="fr-FR"/>
              </w:rPr>
              <w:t>p</w:t>
            </w:r>
            <w:r>
              <w:rPr>
                <w:color w:val="000000"/>
                <w:lang w:eastAsia="fr-FR"/>
              </w:rPr>
              <w:t>ierre@univ-reunion.fr</w:t>
            </w:r>
          </w:p>
        </w:tc>
      </w:tr>
      <w:tr w:rsidR="008C7649" w:rsidRPr="00CD19A1" w14:paraId="59D0942A" w14:textId="77777777" w:rsidTr="004A0DCB">
        <w:trPr>
          <w:trHeight w:val="292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84F844B" w14:textId="77777777" w:rsidR="008C7649" w:rsidRPr="00FC6DF2" w:rsidRDefault="008C7649" w:rsidP="008C7649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2F475" w14:textId="7AA1E989" w:rsidR="008C7649" w:rsidRPr="00FC6DF2" w:rsidRDefault="008C7649" w:rsidP="008C764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</w:tcPr>
          <w:p w14:paraId="49B903B8" w14:textId="7D427C27" w:rsidR="008C7649" w:rsidRPr="00FC6DF2" w:rsidRDefault="008C7649" w:rsidP="008C7649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8C7649" w:rsidRPr="00CD19A1" w14:paraId="40244EC0" w14:textId="77777777" w:rsidTr="004A0DCB">
        <w:trPr>
          <w:trHeight w:val="307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1D105CC" w14:textId="77777777" w:rsidR="008C7649" w:rsidRPr="00FC6DF2" w:rsidRDefault="008C7649" w:rsidP="008C7649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D82439" w14:textId="2EE5F992" w:rsidR="008C7649" w:rsidRPr="00FC6DF2" w:rsidRDefault="008C7649" w:rsidP="008C764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Jean Simon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</w:tcPr>
          <w:p w14:paraId="10F272A1" w14:textId="7BF99404" w:rsidR="008C7649" w:rsidRPr="00FC6DF2" w:rsidRDefault="008C7649" w:rsidP="008C7649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Courriel : jean.simon@univ-reunion.fr</w:t>
            </w:r>
          </w:p>
        </w:tc>
      </w:tr>
      <w:tr w:rsidR="008C7649" w:rsidRPr="00CD19A1" w14:paraId="0D6C0025" w14:textId="77777777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DE16F" w14:textId="77777777" w:rsidR="008C7649" w:rsidRPr="00FC6DF2" w:rsidRDefault="008C7649" w:rsidP="008C7649">
            <w:pPr>
              <w:spacing w:after="0" w:line="240" w:lineRule="auto"/>
              <w:rPr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E3650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696D7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5B901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741CB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3C7D7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63455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287AF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</w:tr>
      <w:tr w:rsidR="008C7649" w:rsidRPr="00CD19A1" w14:paraId="6E239445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34E4E6E" w14:textId="77777777" w:rsidR="008C7649" w:rsidRPr="00FC6DF2" w:rsidRDefault="008C7649" w:rsidP="008C7649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CONTENU PEDAGOGIQUE : </w:t>
            </w:r>
            <w:r w:rsidRPr="00FC6DF2"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>Description du cours e</w:t>
            </w:r>
            <w:r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>t principes de fonctionnement :</w:t>
            </w:r>
            <w:r w:rsidRPr="00FC6DF2"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 xml:space="preserve"> de quoi s’agit-il ? Quelles intentions ? </w:t>
            </w:r>
          </w:p>
        </w:tc>
      </w:tr>
      <w:tr w:rsidR="008C7649" w:rsidRPr="00CD19A1" w14:paraId="1241FF3E" w14:textId="77777777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3709586" w14:textId="30C12525" w:rsidR="008C7649" w:rsidRPr="00F17E26" w:rsidRDefault="0052644D" w:rsidP="008C7649">
            <w:pPr>
              <w:rPr>
                <w:rFonts w:eastAsia="MS Mincho"/>
              </w:rPr>
            </w:pPr>
            <w:r>
              <w:rPr>
                <w:rFonts w:eastAsia="MS Mincho"/>
              </w:rPr>
              <w:t>L</w:t>
            </w:r>
            <w:r w:rsidR="008C7649" w:rsidRPr="00F17E26">
              <w:rPr>
                <w:rFonts w:eastAsia="MS Mincho"/>
              </w:rPr>
              <w:t>a formation se déroulera selon le schéma suivant : 4h en cours magistraux, 6 heures en TD et un ensemble de travaux à réaliser à distance.</w:t>
            </w:r>
          </w:p>
          <w:p w14:paraId="71251A75" w14:textId="479BBD83" w:rsidR="008C7649" w:rsidRPr="00F17E26" w:rsidRDefault="0052644D" w:rsidP="005E45A8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Durant</w:t>
            </w:r>
            <w:r w:rsidR="008C7649" w:rsidRPr="00F17E26">
              <w:rPr>
                <w:rFonts w:eastAsia="MS Mincho"/>
              </w:rPr>
              <w:t xml:space="preserve"> les 4h de cours magistraux, une présentation sera faite</w:t>
            </w:r>
            <w:r w:rsidR="005E45A8">
              <w:rPr>
                <w:rFonts w:eastAsia="MS Mincho"/>
              </w:rPr>
              <w:t> :</w:t>
            </w:r>
          </w:p>
          <w:p w14:paraId="3774E01C" w14:textId="77777777" w:rsidR="008C7649" w:rsidRPr="00F17E26" w:rsidRDefault="008C7649" w:rsidP="005E45A8">
            <w:pPr>
              <w:pStyle w:val="Paragraphedeliste1"/>
              <w:numPr>
                <w:ilvl w:val="0"/>
                <w:numId w:val="5"/>
              </w:numPr>
              <w:rPr>
                <w:rFonts w:eastAsia="MS Mincho"/>
                <w:sz w:val="22"/>
                <w:szCs w:val="22"/>
              </w:rPr>
            </w:pPr>
            <w:proofErr w:type="gramStart"/>
            <w:r w:rsidRPr="00F17E26">
              <w:rPr>
                <w:rFonts w:eastAsia="MS Mincho"/>
                <w:sz w:val="22"/>
                <w:szCs w:val="22"/>
              </w:rPr>
              <w:t>de</w:t>
            </w:r>
            <w:proofErr w:type="gramEnd"/>
            <w:r w:rsidRPr="00F17E26">
              <w:rPr>
                <w:rFonts w:eastAsia="MS Mincho"/>
                <w:sz w:val="22"/>
                <w:szCs w:val="22"/>
              </w:rPr>
              <w:t xml:space="preserve"> la société de l’information et des changements qu’elle implique pour l’école,</w:t>
            </w:r>
          </w:p>
          <w:p w14:paraId="19C65157" w14:textId="77777777" w:rsidR="008C7649" w:rsidRPr="00F17E26" w:rsidRDefault="008C7649" w:rsidP="008C7649">
            <w:pPr>
              <w:pStyle w:val="Paragraphedeliste1"/>
              <w:numPr>
                <w:ilvl w:val="0"/>
                <w:numId w:val="5"/>
              </w:numPr>
              <w:rPr>
                <w:rFonts w:eastAsia="MS Mincho"/>
                <w:sz w:val="22"/>
                <w:szCs w:val="22"/>
              </w:rPr>
            </w:pPr>
            <w:proofErr w:type="gramStart"/>
            <w:r w:rsidRPr="00F17E26">
              <w:rPr>
                <w:rFonts w:eastAsia="MS Mincho"/>
                <w:sz w:val="22"/>
                <w:szCs w:val="22"/>
              </w:rPr>
              <w:t>du</w:t>
            </w:r>
            <w:proofErr w:type="gramEnd"/>
            <w:r w:rsidRPr="00F17E26">
              <w:rPr>
                <w:rFonts w:eastAsia="MS Mincho"/>
                <w:sz w:val="22"/>
                <w:szCs w:val="22"/>
              </w:rPr>
              <w:t xml:space="preserve"> c2i2e et de ce qui est attendu des étudiants pour l’obtenir</w:t>
            </w:r>
          </w:p>
          <w:p w14:paraId="682B2ECD" w14:textId="77777777" w:rsidR="008C7649" w:rsidRPr="00F17E26" w:rsidRDefault="008C7649" w:rsidP="008C7649">
            <w:pPr>
              <w:pStyle w:val="Paragraphedeliste1"/>
              <w:numPr>
                <w:ilvl w:val="0"/>
                <w:numId w:val="5"/>
              </w:numPr>
              <w:rPr>
                <w:rFonts w:eastAsia="MS Mincho"/>
                <w:sz w:val="22"/>
                <w:szCs w:val="22"/>
              </w:rPr>
            </w:pPr>
            <w:proofErr w:type="gramStart"/>
            <w:r w:rsidRPr="00F17E26">
              <w:rPr>
                <w:rFonts w:eastAsia="MS Mincho"/>
                <w:sz w:val="22"/>
                <w:szCs w:val="22"/>
              </w:rPr>
              <w:t>du</w:t>
            </w:r>
            <w:proofErr w:type="gramEnd"/>
            <w:r w:rsidRPr="00F17E26">
              <w:rPr>
                <w:rFonts w:eastAsia="MS Mincho"/>
                <w:sz w:val="22"/>
                <w:szCs w:val="22"/>
              </w:rPr>
              <w:t xml:space="preserve"> numérique dans l’enseignement : apprendre le numérique et apprendre grâce au numérique.</w:t>
            </w:r>
          </w:p>
          <w:p w14:paraId="5F6900CD" w14:textId="77777777" w:rsidR="005E45A8" w:rsidRDefault="005E45A8" w:rsidP="008C7649">
            <w:pPr>
              <w:rPr>
                <w:rFonts w:eastAsia="MS Mincho"/>
              </w:rPr>
            </w:pPr>
          </w:p>
          <w:p w14:paraId="5BAF5127" w14:textId="3CC21B70" w:rsidR="008C7649" w:rsidRPr="00F17E26" w:rsidRDefault="0052644D" w:rsidP="005E45A8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Durant</w:t>
            </w:r>
            <w:r w:rsidR="008C7649" w:rsidRPr="00F17E26">
              <w:rPr>
                <w:rFonts w:eastAsia="MS Mincho"/>
              </w:rPr>
              <w:t xml:space="preserve"> les 6h de TD on commencera à outiller les futurs enseignants aux niveaux pédagogique, matériel et pratique :</w:t>
            </w:r>
          </w:p>
          <w:p w14:paraId="6FC92779" w14:textId="77777777" w:rsidR="008C7649" w:rsidRPr="00F17E26" w:rsidRDefault="008C7649" w:rsidP="005E45A8">
            <w:pPr>
              <w:numPr>
                <w:ilvl w:val="0"/>
                <w:numId w:val="4"/>
              </w:numPr>
              <w:spacing w:after="0" w:line="240" w:lineRule="auto"/>
              <w:rPr>
                <w:rFonts w:eastAsia="MS Mincho"/>
              </w:rPr>
            </w:pPr>
            <w:proofErr w:type="gramStart"/>
            <w:r w:rsidRPr="00F17E26">
              <w:rPr>
                <w:rFonts w:eastAsia="MS Mincho"/>
              </w:rPr>
              <w:t>pédagogique</w:t>
            </w:r>
            <w:proofErr w:type="gramEnd"/>
            <w:r w:rsidRPr="00F17E26">
              <w:rPr>
                <w:rFonts w:eastAsia="MS Mincho"/>
              </w:rPr>
              <w:t xml:space="preserve"> en montrant dans quels cas l’utilisation du numérique peut apporter une plus-value. </w:t>
            </w:r>
          </w:p>
          <w:p w14:paraId="12FC32CA" w14:textId="77777777" w:rsidR="008C7649" w:rsidRPr="00F17E26" w:rsidRDefault="008C7649" w:rsidP="008C7649">
            <w:pPr>
              <w:numPr>
                <w:ilvl w:val="0"/>
                <w:numId w:val="4"/>
              </w:numPr>
              <w:spacing w:after="0" w:line="240" w:lineRule="auto"/>
              <w:rPr>
                <w:rFonts w:eastAsia="MS Mincho"/>
              </w:rPr>
            </w:pPr>
            <w:proofErr w:type="gramStart"/>
            <w:r w:rsidRPr="00F17E26">
              <w:rPr>
                <w:rFonts w:eastAsia="MS Mincho"/>
              </w:rPr>
              <w:t>matériel</w:t>
            </w:r>
            <w:proofErr w:type="gramEnd"/>
            <w:r w:rsidRPr="00F17E26">
              <w:rPr>
                <w:rFonts w:eastAsia="MS Mincho"/>
              </w:rPr>
              <w:t xml:space="preserve"> par la diffusion d’un ensemble de logiciels libres de droit,</w:t>
            </w:r>
          </w:p>
          <w:p w14:paraId="70351D29" w14:textId="77777777" w:rsidR="008C7649" w:rsidRPr="00F17E26" w:rsidRDefault="008C7649" w:rsidP="008C7649">
            <w:pPr>
              <w:numPr>
                <w:ilvl w:val="0"/>
                <w:numId w:val="4"/>
              </w:numPr>
              <w:spacing w:after="0" w:line="240" w:lineRule="auto"/>
              <w:rPr>
                <w:rFonts w:eastAsia="MS Mincho"/>
              </w:rPr>
            </w:pPr>
            <w:proofErr w:type="gramStart"/>
            <w:r w:rsidRPr="00F17E26">
              <w:rPr>
                <w:rFonts w:eastAsia="MS Mincho"/>
              </w:rPr>
              <w:t>pratique</w:t>
            </w:r>
            <w:proofErr w:type="gramEnd"/>
            <w:r w:rsidRPr="00F17E26">
              <w:rPr>
                <w:rFonts w:eastAsia="MS Mincho"/>
              </w:rPr>
              <w:t xml:space="preserve"> par une formation à ces logiciels.</w:t>
            </w:r>
          </w:p>
          <w:p w14:paraId="40ACAD6C" w14:textId="77777777" w:rsidR="008C7649" w:rsidRPr="00F17E26" w:rsidRDefault="008C7649" w:rsidP="008C7649">
            <w:pPr>
              <w:rPr>
                <w:rFonts w:eastAsia="MS Mincho"/>
              </w:rPr>
            </w:pPr>
            <w:r w:rsidRPr="00F17E26">
              <w:rPr>
                <w:rFonts w:eastAsia="MS Mincho"/>
              </w:rPr>
              <w:t>Certains des outils présentés permettront la réalisation du dossier numérique pour le concours (</w:t>
            </w:r>
            <w:proofErr w:type="spellStart"/>
            <w:r w:rsidRPr="00F17E26">
              <w:rPr>
                <w:rFonts w:eastAsia="MS Mincho"/>
              </w:rPr>
              <w:t>PréAO</w:t>
            </w:r>
            <w:proofErr w:type="spellEnd"/>
            <w:r w:rsidRPr="00F17E26">
              <w:rPr>
                <w:rFonts w:eastAsia="MS Mincho"/>
              </w:rPr>
              <w:t xml:space="preserve"> et vidéo notamment).</w:t>
            </w:r>
          </w:p>
          <w:p w14:paraId="65FC11C1" w14:textId="1DC9AF4F" w:rsidR="008C7649" w:rsidRPr="00FC6DF2" w:rsidRDefault="008C7649" w:rsidP="008C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En plus de ces travaux en présentiel</w:t>
            </w:r>
            <w:r w:rsidR="0052644D">
              <w:rPr>
                <w:rFonts w:eastAsia="MS Mincho"/>
              </w:rPr>
              <w:t>,</w:t>
            </w:r>
            <w:r w:rsidRPr="00F17E26">
              <w:rPr>
                <w:rFonts w:eastAsia="MS Mincho"/>
              </w:rPr>
              <w:t xml:space="preserve"> les étudiants seront amenés à réaliser un ensemble de travaux à distance qu’ils devront déposer et mutualiser sur l’ENT et qui leur permettront de valider  les items du domaine A et une partie du domaine B du c2i2e</w:t>
            </w:r>
          </w:p>
        </w:tc>
      </w:tr>
      <w:tr w:rsidR="008C7649" w:rsidRPr="00CD19A1" w14:paraId="09224886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8E9B71B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0875CC6C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44FBA0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0BB93267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A2FED8E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5D8231E7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ACF4B22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1F8BB73F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6C14548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30A754CF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E01A86E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656EE8F3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E6D62AA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0E3417DD" w14:textId="77777777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BA045" w14:textId="77777777" w:rsidR="008C7649" w:rsidRPr="00FC6DF2" w:rsidRDefault="008C7649" w:rsidP="008C7649">
            <w:pPr>
              <w:spacing w:after="0" w:line="240" w:lineRule="auto"/>
              <w:rPr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069C7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6FB18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B8EAD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D5D35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DBCB5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D2860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29C54" w14:textId="77777777" w:rsidR="008C7649" w:rsidRPr="00FC6DF2" w:rsidRDefault="008C7649" w:rsidP="008C7649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</w:tr>
      <w:tr w:rsidR="008C7649" w:rsidRPr="00CD19A1" w14:paraId="0C122DE3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7F84287D" w14:textId="77777777" w:rsidR="008C7649" w:rsidRPr="00FC6DF2" w:rsidRDefault="008C7649" w:rsidP="008C7649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Objectifs </w:t>
            </w:r>
            <w:r>
              <w:rPr>
                <w:rFonts w:ascii="Arial Black" w:hAnsi="Arial Black"/>
                <w:color w:val="000000"/>
                <w:lang w:eastAsia="fr-FR"/>
              </w:rPr>
              <w:t xml:space="preserve">de l’UE pour les étudiants </w:t>
            </w: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: </w:t>
            </w:r>
          </w:p>
        </w:tc>
      </w:tr>
      <w:tr w:rsidR="008C7649" w:rsidRPr="00CD19A1" w14:paraId="637877B8" w14:textId="77777777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71043CAD" w14:textId="10617A61" w:rsidR="008C7649" w:rsidRPr="00F17E26" w:rsidRDefault="008C7649" w:rsidP="008C7649">
            <w:pPr>
              <w:spacing w:after="0" w:line="240" w:lineRule="auto"/>
              <w:rPr>
                <w:rFonts w:eastAsia="MS Mincho"/>
              </w:rPr>
            </w:pPr>
            <w:r w:rsidRPr="00F17E26">
              <w:rPr>
                <w:rFonts w:eastAsia="MS Mincho"/>
              </w:rPr>
              <w:t xml:space="preserve">L’objectif général est maîtriser le numérique pour </w:t>
            </w:r>
            <w:r w:rsidR="0052644D" w:rsidRPr="00F17E26">
              <w:rPr>
                <w:rFonts w:eastAsia="MS Mincho"/>
              </w:rPr>
              <w:t>s’informer et</w:t>
            </w:r>
            <w:r w:rsidRPr="00F17E26">
              <w:rPr>
                <w:rFonts w:eastAsia="MS Mincho"/>
              </w:rPr>
              <w:t xml:space="preserve"> se </w:t>
            </w:r>
            <w:r w:rsidR="0052644D" w:rsidRPr="00F17E26">
              <w:rPr>
                <w:rFonts w:eastAsia="MS Mincho"/>
              </w:rPr>
              <w:t>former dans</w:t>
            </w:r>
            <w:r w:rsidRPr="00F17E26">
              <w:rPr>
                <w:rFonts w:eastAsia="MS Mincho"/>
              </w:rPr>
              <w:t xml:space="preserve"> le cadre d’une préparation aux métiers d</w:t>
            </w:r>
            <w:r w:rsidR="0052644D">
              <w:rPr>
                <w:rFonts w:eastAsia="MS Mincho"/>
              </w:rPr>
              <w:t>e l</w:t>
            </w:r>
            <w:r w:rsidRPr="00F17E26">
              <w:rPr>
                <w:rFonts w:eastAsia="MS Mincho"/>
              </w:rPr>
              <w:t xml:space="preserve">’enseignement. Plus précisément, les objectifs visés sont ceux du c2i2e (hors B3 qui sera travaillé dans l’UE suivante). </w:t>
            </w:r>
          </w:p>
          <w:p w14:paraId="4A98B41B" w14:textId="77777777" w:rsidR="008C7649" w:rsidRPr="00F17E26" w:rsidRDefault="008C7649" w:rsidP="008C7649">
            <w:pPr>
              <w:spacing w:after="0" w:line="240" w:lineRule="auto"/>
              <w:jc w:val="both"/>
              <w:rPr>
                <w:rStyle w:val="lev"/>
                <w:rFonts w:eastAsia="MS Mincho"/>
                <w:b w:val="0"/>
              </w:rPr>
            </w:pPr>
            <w:r w:rsidRPr="00F17E26">
              <w:rPr>
                <w:rStyle w:val="lev"/>
                <w:rFonts w:eastAsia="MS Mincho"/>
              </w:rPr>
              <w:t>A1 Maîtrise de l’environnement numérique professionnel</w:t>
            </w:r>
          </w:p>
          <w:p w14:paraId="5F424201" w14:textId="77777777" w:rsidR="008C7649" w:rsidRPr="00F17E26" w:rsidRDefault="008C7649" w:rsidP="008C7649">
            <w:pPr>
              <w:spacing w:after="0" w:line="240" w:lineRule="auto"/>
              <w:jc w:val="both"/>
              <w:rPr>
                <w:rStyle w:val="lev"/>
                <w:rFonts w:eastAsia="MS Mincho"/>
                <w:b w:val="0"/>
              </w:rPr>
            </w:pPr>
            <w:r w:rsidRPr="00F17E26">
              <w:rPr>
                <w:rStyle w:val="lev"/>
                <w:rFonts w:eastAsia="MS Mincho"/>
              </w:rPr>
              <w:t>A2 Développement des compétences pour la formation tout au long de la vie</w:t>
            </w:r>
          </w:p>
          <w:p w14:paraId="0BEB042C" w14:textId="77777777" w:rsidR="008C7649" w:rsidRPr="00F17E26" w:rsidRDefault="008C7649" w:rsidP="008C7649">
            <w:pPr>
              <w:spacing w:after="0" w:line="240" w:lineRule="auto"/>
              <w:jc w:val="both"/>
              <w:rPr>
                <w:rStyle w:val="lev"/>
                <w:rFonts w:eastAsia="MS Mincho"/>
                <w:b w:val="0"/>
              </w:rPr>
            </w:pPr>
            <w:r w:rsidRPr="00F17E26">
              <w:rPr>
                <w:rStyle w:val="lev"/>
                <w:rFonts w:eastAsia="MS Mincho"/>
              </w:rPr>
              <w:t>A3 Responsabilité professionnelle dans le cadre du système éducatif</w:t>
            </w:r>
          </w:p>
          <w:p w14:paraId="520BBD5D" w14:textId="77777777" w:rsidR="008C7649" w:rsidRPr="00F17E26" w:rsidRDefault="008C7649" w:rsidP="008C7649">
            <w:pPr>
              <w:spacing w:after="0" w:line="240" w:lineRule="auto"/>
              <w:jc w:val="both"/>
              <w:rPr>
                <w:rFonts w:eastAsia="MS Mincho"/>
                <w:b/>
              </w:rPr>
            </w:pPr>
            <w:r w:rsidRPr="00F17E26">
              <w:rPr>
                <w:rStyle w:val="lev"/>
                <w:rFonts w:eastAsia="MS Mincho"/>
              </w:rPr>
              <w:t>B1 Travail en réseau avec l’utilisation des outils de travail collaboratif</w:t>
            </w:r>
          </w:p>
          <w:p w14:paraId="276C6729" w14:textId="77777777" w:rsidR="008C7649" w:rsidRPr="00F17E26" w:rsidRDefault="008C7649" w:rsidP="008C7649">
            <w:pPr>
              <w:spacing w:after="0" w:line="240" w:lineRule="auto"/>
              <w:jc w:val="both"/>
              <w:rPr>
                <w:rFonts w:eastAsia="MS Mincho"/>
                <w:b/>
              </w:rPr>
            </w:pPr>
            <w:r w:rsidRPr="00F17E26">
              <w:rPr>
                <w:rStyle w:val="lev"/>
                <w:rFonts w:eastAsia="MS Mincho"/>
              </w:rPr>
              <w:t>B2 Conception et préparation de contenus d’enseignement et de situations d’apprentissage</w:t>
            </w:r>
          </w:p>
          <w:p w14:paraId="3077154A" w14:textId="04BE6996" w:rsidR="008C7649" w:rsidRPr="00FC6DF2" w:rsidRDefault="008C7649" w:rsidP="008C7649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F17E26">
              <w:rPr>
                <w:rStyle w:val="lev"/>
                <w:rFonts w:eastAsia="MS Mincho"/>
              </w:rPr>
              <w:t>B4 Mise en œuvre de démarches d’évaluation</w:t>
            </w:r>
          </w:p>
        </w:tc>
      </w:tr>
      <w:tr w:rsidR="008C7649" w:rsidRPr="00CD19A1" w14:paraId="4FAA0411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95C4C2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4800C8B1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86AE5DA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24FC1DB8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12008BD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423805ED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70CD443" w14:textId="77777777" w:rsidR="008C7649" w:rsidRPr="00FC6DF2" w:rsidRDefault="008C7649" w:rsidP="008C76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8C7649" w:rsidRPr="00CD19A1" w14:paraId="3DA80596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7A482B0A" w14:textId="77777777" w:rsidR="008C7649" w:rsidRPr="00FC6DF2" w:rsidRDefault="008C7649" w:rsidP="008C7649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Compétences </w:t>
            </w:r>
            <w:r>
              <w:rPr>
                <w:rFonts w:ascii="Arial Black" w:hAnsi="Arial Black"/>
                <w:color w:val="000000"/>
                <w:lang w:eastAsia="fr-FR"/>
              </w:rPr>
              <w:t>visées</w:t>
            </w: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 : </w:t>
            </w:r>
            <w:r w:rsidRPr="00FC6DF2">
              <w:rPr>
                <w:rFonts w:ascii="Calibri Light" w:hAnsi="Calibri Light"/>
                <w:i/>
                <w:iCs/>
                <w:color w:val="000000"/>
                <w:lang w:eastAsia="fr-FR"/>
              </w:rPr>
              <w:t xml:space="preserve">De quoi – les étudiants - devront-ils être capables à la fin du cours ? </w:t>
            </w:r>
          </w:p>
        </w:tc>
      </w:tr>
      <w:tr w:rsidR="005E45A8" w:rsidRPr="00CD19A1" w14:paraId="62971B7C" w14:textId="77777777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57503F18" w14:textId="77777777" w:rsidR="005E45A8" w:rsidRPr="00F17E26" w:rsidRDefault="005E45A8" w:rsidP="005E45A8">
            <w:pPr>
              <w:spacing w:after="0"/>
              <w:jc w:val="both"/>
              <w:rPr>
                <w:iCs/>
                <w:color w:val="000000"/>
              </w:rPr>
            </w:pPr>
            <w:r w:rsidRPr="00F17E26">
              <w:rPr>
                <w:iCs/>
                <w:color w:val="000000"/>
              </w:rPr>
              <w:t>9. Intégrer les éléments de la culture numérique nécessaires à l'exercice de son métier</w:t>
            </w:r>
          </w:p>
          <w:p w14:paraId="71EB1525" w14:textId="3C91636C" w:rsidR="005E45A8" w:rsidRPr="0097306C" w:rsidRDefault="005E45A8" w:rsidP="005E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lang w:eastAsia="fr-FR"/>
              </w:rPr>
            </w:pPr>
            <w:r w:rsidRPr="00F17E26">
              <w:rPr>
                <w:iCs/>
                <w:color w:val="000000"/>
              </w:rPr>
              <w:t>P1. Maîtriser les savoirs disciplinaires et leur didactique dans les trois cycles de l’école primaire: TICE</w:t>
            </w:r>
          </w:p>
        </w:tc>
      </w:tr>
      <w:tr w:rsidR="005E45A8" w:rsidRPr="00CD19A1" w14:paraId="3DA07234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5A064561" w14:textId="77777777" w:rsidR="005E45A8" w:rsidRPr="00FC6DF2" w:rsidRDefault="005E45A8" w:rsidP="005E45A8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</w:p>
        </w:tc>
      </w:tr>
      <w:tr w:rsidR="005E45A8" w:rsidRPr="00CD19A1" w14:paraId="688E1D4F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F4A182C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45D216CD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F074AEC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482BDA56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92DC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77C6340E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563FBF8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557E31F6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9C7EA8F" w14:textId="77777777" w:rsidR="005E45A8" w:rsidRPr="00FC6DF2" w:rsidRDefault="005E45A8" w:rsidP="005E45A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>Modalités d'évaluation des connaissances et des compétences</w:t>
            </w:r>
          </w:p>
        </w:tc>
      </w:tr>
      <w:tr w:rsidR="005E45A8" w:rsidRPr="00CD19A1" w14:paraId="5BFCDC10" w14:textId="77777777">
        <w:trPr>
          <w:trHeight w:val="307"/>
        </w:trPr>
        <w:tc>
          <w:tcPr>
            <w:tcW w:w="56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654F852E" w14:textId="77777777" w:rsidR="005E45A8" w:rsidRPr="00FC6DF2" w:rsidRDefault="005E45A8" w:rsidP="005E45A8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</w:t>
            </w:r>
            <w:r w:rsidRPr="00FC6DF2">
              <w:rPr>
                <w:color w:val="000000"/>
                <w:vertAlign w:val="superscript"/>
                <w:lang w:eastAsia="fr-FR"/>
              </w:rPr>
              <w:t>ère</w:t>
            </w:r>
            <w:r>
              <w:rPr>
                <w:color w:val="000000"/>
                <w:lang w:eastAsia="fr-FR"/>
              </w:rPr>
              <w:t xml:space="preserve"> session : </w:t>
            </w:r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14:paraId="36B5153F" w14:textId="77777777" w:rsidR="005E45A8" w:rsidRPr="00FC6DF2" w:rsidRDefault="005E45A8" w:rsidP="005E45A8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</w:t>
            </w:r>
            <w:r w:rsidRPr="00FC6DF2">
              <w:rPr>
                <w:color w:val="000000"/>
                <w:vertAlign w:val="superscript"/>
                <w:lang w:eastAsia="fr-FR"/>
              </w:rPr>
              <w:t>ème</w:t>
            </w:r>
            <w:r>
              <w:rPr>
                <w:color w:val="000000"/>
                <w:lang w:eastAsia="fr-FR"/>
              </w:rPr>
              <w:t xml:space="preserve"> session : </w:t>
            </w:r>
          </w:p>
        </w:tc>
      </w:tr>
      <w:tr w:rsidR="005E45A8" w:rsidRPr="00CD19A1" w14:paraId="0B47ABDC" w14:textId="77777777">
        <w:trPr>
          <w:trHeight w:val="292"/>
        </w:trPr>
        <w:tc>
          <w:tcPr>
            <w:tcW w:w="56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14:paraId="3A3A49C7" w14:textId="5EF39AF6" w:rsidR="005E45A8" w:rsidRPr="00F17E26" w:rsidRDefault="005E45A8" w:rsidP="005E45A8">
            <w:pPr>
              <w:pStyle w:val="Paragraphedeliste1"/>
              <w:ind w:left="142"/>
              <w:jc w:val="both"/>
              <w:rPr>
                <w:rFonts w:eastAsia="MS Mincho"/>
                <w:sz w:val="22"/>
                <w:szCs w:val="22"/>
              </w:rPr>
            </w:pPr>
            <w:r w:rsidRPr="00FC6DF2">
              <w:rPr>
                <w:iCs/>
                <w:color w:val="000000"/>
              </w:rPr>
              <w:t> </w:t>
            </w:r>
            <w:r w:rsidRPr="00F17E26">
              <w:rPr>
                <w:rFonts w:eastAsia="MS Mincho"/>
                <w:sz w:val="22"/>
                <w:szCs w:val="22"/>
              </w:rPr>
              <w:t xml:space="preserve">Contrôle continu portant sur les items du c2i2e </w:t>
            </w:r>
            <w:r w:rsidR="0052644D">
              <w:rPr>
                <w:rFonts w:eastAsia="MS Mincho"/>
                <w:sz w:val="22"/>
                <w:szCs w:val="22"/>
              </w:rPr>
              <w:t xml:space="preserve">(hors B2 et </w:t>
            </w:r>
            <w:proofErr w:type="gramStart"/>
            <w:r w:rsidR="0052644D">
              <w:rPr>
                <w:rFonts w:eastAsia="MS Mincho"/>
                <w:sz w:val="22"/>
                <w:szCs w:val="22"/>
              </w:rPr>
              <w:t xml:space="preserve">B) 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F17E26">
              <w:rPr>
                <w:rFonts w:eastAsia="MS Mincho"/>
                <w:sz w:val="22"/>
                <w:szCs w:val="22"/>
              </w:rPr>
              <w:t>+</w:t>
            </w:r>
            <w:proofErr w:type="gramEnd"/>
            <w:r w:rsidRPr="00F17E26">
              <w:rPr>
                <w:rFonts w:eastAsia="MS Mincho"/>
                <w:sz w:val="22"/>
                <w:szCs w:val="22"/>
              </w:rPr>
              <w:t xml:space="preserve"> Ecrit terminal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  <w:p w14:paraId="0E934B46" w14:textId="77777777" w:rsidR="005E45A8" w:rsidRPr="00785E81" w:rsidRDefault="005E45A8" w:rsidP="005E45A8">
            <w:pPr>
              <w:spacing w:after="0" w:line="240" w:lineRule="auto"/>
              <w:rPr>
                <w:iCs/>
                <w:lang w:eastAsia="fr-FR"/>
              </w:rPr>
            </w:pP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43BB80C4" w14:textId="788BBCB8" w:rsidR="005E45A8" w:rsidRPr="00FC6DF2" w:rsidRDefault="005E45A8" w:rsidP="005E45A8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FC6DF2">
              <w:rPr>
                <w:iCs/>
                <w:color w:val="000000"/>
                <w:lang w:eastAsia="fr-FR"/>
              </w:rPr>
              <w:t> </w:t>
            </w:r>
            <w:r w:rsidRPr="00F17E26">
              <w:rPr>
                <w:rFonts w:eastAsia="MS Mincho"/>
              </w:rPr>
              <w:t xml:space="preserve">Ecrit terminal </w:t>
            </w:r>
            <w:r>
              <w:rPr>
                <w:rFonts w:eastAsia="MS Mincho"/>
              </w:rPr>
              <w:t xml:space="preserve"> </w:t>
            </w:r>
          </w:p>
        </w:tc>
      </w:tr>
      <w:tr w:rsidR="005E45A8" w:rsidRPr="00CD19A1" w14:paraId="5ABE4D20" w14:textId="77777777">
        <w:trPr>
          <w:trHeight w:val="292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98C36E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A8E28C2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549FEF22" w14:textId="77777777">
        <w:trPr>
          <w:trHeight w:val="292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A1BCBC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4D258A8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4D9EA360" w14:textId="77777777">
        <w:trPr>
          <w:trHeight w:val="26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A5DDD8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43C6FEC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624B7368" w14:textId="77777777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E706A" w14:textId="77777777" w:rsidR="005E45A8" w:rsidRPr="00FC6DF2" w:rsidRDefault="005E45A8" w:rsidP="005E45A8">
            <w:pPr>
              <w:spacing w:after="0" w:line="240" w:lineRule="auto"/>
              <w:jc w:val="center"/>
              <w:rPr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B8AD8" w14:textId="77777777" w:rsidR="005E45A8" w:rsidRPr="00FC6DF2" w:rsidRDefault="005E45A8" w:rsidP="005E45A8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A4F5E" w14:textId="77777777" w:rsidR="005E45A8" w:rsidRPr="00FC6DF2" w:rsidRDefault="005E45A8" w:rsidP="005E45A8">
            <w:pPr>
              <w:spacing w:after="0" w:line="240" w:lineRule="auto"/>
              <w:rPr>
                <w:rFonts w:ascii="Times New Roman" w:hAnsi="Times New Roman"/>
                <w:sz w:val="18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3AD41" w14:textId="77777777" w:rsidR="005E45A8" w:rsidRPr="00FC6DF2" w:rsidRDefault="005E45A8" w:rsidP="005E45A8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A63DD" w14:textId="77777777" w:rsidR="005E45A8" w:rsidRPr="00FC6DF2" w:rsidRDefault="005E45A8" w:rsidP="005E45A8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5F989" w14:textId="77777777" w:rsidR="005E45A8" w:rsidRPr="00FC6DF2" w:rsidRDefault="005E45A8" w:rsidP="005E45A8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2FE51" w14:textId="77777777" w:rsidR="005E45A8" w:rsidRPr="00FC6DF2" w:rsidRDefault="005E45A8" w:rsidP="005E45A8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36BCE" w14:textId="77777777" w:rsidR="005E45A8" w:rsidRPr="00FC6DF2" w:rsidRDefault="005E45A8" w:rsidP="005E45A8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</w:tr>
      <w:tr w:rsidR="005E45A8" w:rsidRPr="00CD19A1" w14:paraId="601C29A0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397581E" w14:textId="77777777" w:rsidR="005E45A8" w:rsidRPr="00FC6DF2" w:rsidRDefault="005E45A8" w:rsidP="005E45A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lastRenderedPageBreak/>
              <w:t xml:space="preserve">Ressources documentaires : </w:t>
            </w:r>
            <w:r w:rsidRPr="00FC6DF2">
              <w:rPr>
                <w:rFonts w:ascii="Calibri Light" w:hAnsi="Calibri Light"/>
                <w:i/>
                <w:iCs/>
                <w:color w:val="000000"/>
                <w:lang w:eastAsia="fr-FR"/>
              </w:rPr>
              <w:t>5 ouvrages et 3 sites internet maximum</w:t>
            </w:r>
          </w:p>
        </w:tc>
      </w:tr>
      <w:tr w:rsidR="005E45A8" w:rsidRPr="00CD19A1" w14:paraId="461A8F58" w14:textId="77777777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6EC50FE" w14:textId="77777777" w:rsidR="005E45A8" w:rsidRPr="00F17E26" w:rsidRDefault="005E45A8" w:rsidP="005E45A8">
            <w:pPr>
              <w:jc w:val="both"/>
              <w:rPr>
                <w:rFonts w:eastAsia="MS Mincho"/>
              </w:rPr>
            </w:pPr>
            <w:proofErr w:type="spellStart"/>
            <w:r w:rsidRPr="00F17E26">
              <w:rPr>
                <w:rFonts w:eastAsia="MS Mincho"/>
              </w:rPr>
              <w:t>Sitographie</w:t>
            </w:r>
            <w:proofErr w:type="spellEnd"/>
            <w:r w:rsidRPr="00F17E26">
              <w:rPr>
                <w:rFonts w:eastAsia="MS Mincho"/>
              </w:rPr>
              <w:t> :</w:t>
            </w:r>
          </w:p>
          <w:p w14:paraId="62EC20D9" w14:textId="77777777" w:rsidR="005E45A8" w:rsidRPr="00F17E26" w:rsidRDefault="005E45A8" w:rsidP="0052644D">
            <w:pPr>
              <w:pStyle w:val="Paragraphedeliste1"/>
              <w:numPr>
                <w:ilvl w:val="0"/>
                <w:numId w:val="7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F17E26">
              <w:rPr>
                <w:rFonts w:eastAsia="MS Mincho"/>
                <w:sz w:val="22"/>
                <w:szCs w:val="22"/>
              </w:rPr>
              <w:t xml:space="preserve">Le référentiel C2i2e : </w:t>
            </w:r>
            <w:hyperlink r:id="rId7" w:history="1">
              <w:r w:rsidRPr="00F17E26">
                <w:rPr>
                  <w:rStyle w:val="Lienhypertexte"/>
                  <w:rFonts w:eastAsia="MS Mincho"/>
                  <w:sz w:val="22"/>
                  <w:szCs w:val="22"/>
                </w:rPr>
                <w:t>http://www.c2i.education.fr/spip.php?article87</w:t>
              </w:r>
            </w:hyperlink>
          </w:p>
          <w:p w14:paraId="17B51959" w14:textId="06A08653" w:rsidR="005E45A8" w:rsidRPr="0052644D" w:rsidRDefault="005E45A8" w:rsidP="0052644D">
            <w:pPr>
              <w:pStyle w:val="Paragraphedeliste1"/>
              <w:numPr>
                <w:ilvl w:val="0"/>
                <w:numId w:val="7"/>
              </w:numPr>
              <w:jc w:val="both"/>
              <w:rPr>
                <w:rStyle w:val="Lienhypertexte"/>
                <w:rFonts w:eastAsia="MS Mincho"/>
                <w:color w:val="auto"/>
                <w:sz w:val="22"/>
                <w:szCs w:val="22"/>
                <w:u w:val="none"/>
              </w:rPr>
            </w:pPr>
            <w:r w:rsidRPr="00F17E26">
              <w:rPr>
                <w:rFonts w:eastAsia="MS Mincho"/>
                <w:sz w:val="22"/>
                <w:szCs w:val="22"/>
              </w:rPr>
              <w:t xml:space="preserve">Des idées pour le numérique en classe : </w:t>
            </w:r>
            <w:hyperlink r:id="rId8" w:history="1">
              <w:r w:rsidRPr="00F17E26">
                <w:rPr>
                  <w:rStyle w:val="Lienhypertexte"/>
                  <w:rFonts w:eastAsia="MS Mincho"/>
                  <w:sz w:val="22"/>
                  <w:szCs w:val="22"/>
                </w:rPr>
                <w:t>http://primtice.education.fr/</w:t>
              </w:r>
            </w:hyperlink>
          </w:p>
          <w:p w14:paraId="574DE2A3" w14:textId="63269835" w:rsidR="0052644D" w:rsidRPr="00F17E26" w:rsidRDefault="0052644D" w:rsidP="0052644D">
            <w:pPr>
              <w:pStyle w:val="Paragraphedeliste1"/>
              <w:numPr>
                <w:ilvl w:val="0"/>
                <w:numId w:val="7"/>
              </w:numPr>
              <w:jc w:val="both"/>
              <w:rPr>
                <w:rFonts w:eastAsia="MS Mincho"/>
                <w:sz w:val="22"/>
                <w:szCs w:val="22"/>
              </w:rPr>
            </w:pPr>
            <w:proofErr w:type="spellStart"/>
            <w:r w:rsidRPr="0052644D">
              <w:rPr>
                <w:sz w:val="22"/>
              </w:rPr>
              <w:t>Prim</w:t>
            </w:r>
            <w:proofErr w:type="spellEnd"/>
            <w:r w:rsidRPr="0052644D">
              <w:rPr>
                <w:sz w:val="22"/>
              </w:rPr>
              <w:t xml:space="preserve"> a bord, le portail du numérique pour le premier degré : </w:t>
            </w:r>
            <w:hyperlink r:id="rId9" w:history="1">
              <w:r w:rsidRPr="0052644D">
                <w:rPr>
                  <w:rStyle w:val="Lienhypertexte"/>
                  <w:sz w:val="22"/>
                </w:rPr>
                <w:t>https://primabord.eduscol.education.fr</w:t>
              </w:r>
            </w:hyperlink>
          </w:p>
          <w:p w14:paraId="2F7442D4" w14:textId="1C0618B5" w:rsidR="0052644D" w:rsidRPr="0052644D" w:rsidRDefault="005E45A8" w:rsidP="000B0CEC">
            <w:pPr>
              <w:pStyle w:val="Paragraphedeliste1"/>
              <w:numPr>
                <w:ilvl w:val="0"/>
                <w:numId w:val="7"/>
              </w:numPr>
              <w:jc w:val="both"/>
              <w:rPr>
                <w:rStyle w:val="Lienhypertexte"/>
                <w:rFonts w:eastAsia="MS Mincho"/>
              </w:rPr>
            </w:pPr>
            <w:r w:rsidRPr="0052644D">
              <w:rPr>
                <w:rFonts w:eastAsia="MS Mincho"/>
                <w:sz w:val="22"/>
                <w:szCs w:val="22"/>
              </w:rPr>
              <w:t>Les dossiers thématiques d’</w:t>
            </w:r>
            <w:proofErr w:type="spellStart"/>
            <w:r w:rsidRPr="0052644D">
              <w:rPr>
                <w:rFonts w:eastAsia="MS Mincho"/>
                <w:sz w:val="22"/>
                <w:szCs w:val="22"/>
              </w:rPr>
              <w:t>Eduscol</w:t>
            </w:r>
            <w:proofErr w:type="spellEnd"/>
            <w:r w:rsidRPr="0052644D">
              <w:rPr>
                <w:rFonts w:eastAsia="MS Mincho"/>
                <w:sz w:val="22"/>
                <w:szCs w:val="22"/>
              </w:rPr>
              <w:t xml:space="preserve"> : </w:t>
            </w:r>
            <w:r w:rsidRPr="0052644D">
              <w:rPr>
                <w:rFonts w:eastAsia="MS Mincho"/>
              </w:rPr>
              <w:t xml:space="preserve"> </w:t>
            </w:r>
            <w:hyperlink r:id="rId10" w:history="1">
              <w:r w:rsidRPr="0052644D">
                <w:rPr>
                  <w:rStyle w:val="Lienhypertexte"/>
                  <w:rFonts w:eastAsia="MS Mincho"/>
                </w:rPr>
                <w:t>http://eduscol.education.fr/numerique/dossier/dossiers-documentaires-tice/dossiers-documentaires-tice</w:t>
              </w:r>
            </w:hyperlink>
          </w:p>
          <w:p w14:paraId="3375B7D7" w14:textId="6C2D05FD" w:rsidR="0052644D" w:rsidRPr="0052644D" w:rsidRDefault="0052644D" w:rsidP="005264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52644D">
              <w:t>L'agence des usages</w:t>
            </w:r>
            <w:r>
              <w:t xml:space="preserve"> (</w:t>
            </w:r>
            <w:proofErr w:type="spellStart"/>
            <w:r>
              <w:t>Canopé</w:t>
            </w:r>
            <w:proofErr w:type="spellEnd"/>
            <w:r>
              <w:t xml:space="preserve">) : L'Agence nationale des usages du numérique éducatif est un site web qui vise la compréhension des enjeux liés à l’évolution des pratiques professionnelles des enseignants dans un contexte numérique </w:t>
            </w:r>
            <w:hyperlink r:id="rId11" w:history="1">
              <w:r>
                <w:rPr>
                  <w:rStyle w:val="Lienhypertexte"/>
                </w:rPr>
                <w:t>https://www.reseau-canope.fr/lagence-des-usages.html</w:t>
              </w:r>
            </w:hyperlink>
          </w:p>
        </w:tc>
      </w:tr>
      <w:tr w:rsidR="005E45A8" w:rsidRPr="00CD19A1" w14:paraId="26171D63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F9ED74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2611AA14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FCF12D0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0B4170D3" w14:textId="77777777">
        <w:trPr>
          <w:trHeight w:val="32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6860E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5E45A8" w:rsidRPr="00CD19A1" w14:paraId="45685226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89208CB" w14:textId="77777777" w:rsidR="005E45A8" w:rsidRPr="00FC6DF2" w:rsidRDefault="005E45A8" w:rsidP="005E45A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</w:tbl>
    <w:p w14:paraId="4E24660D" w14:textId="77777777" w:rsidR="00CE3A78" w:rsidRDefault="00CE3A78" w:rsidP="00873EFD"/>
    <w:sectPr w:rsidR="00CE3A78" w:rsidSect="008E172A">
      <w:headerReference w:type="default" r:id="rId12"/>
      <w:pgSz w:w="11906" w:h="16838"/>
      <w:pgMar w:top="454" w:right="454" w:bottom="28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FE972" w14:textId="77777777" w:rsidR="00603BC2" w:rsidRDefault="00603BC2" w:rsidP="00873EFD">
      <w:pPr>
        <w:spacing w:after="0" w:line="240" w:lineRule="auto"/>
      </w:pPr>
      <w:r>
        <w:separator/>
      </w:r>
    </w:p>
  </w:endnote>
  <w:endnote w:type="continuationSeparator" w:id="0">
    <w:p w14:paraId="2429A44A" w14:textId="77777777" w:rsidR="00603BC2" w:rsidRDefault="00603BC2" w:rsidP="0087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18CD" w14:textId="77777777" w:rsidR="00603BC2" w:rsidRDefault="00603BC2" w:rsidP="00873EFD">
      <w:pPr>
        <w:spacing w:after="0" w:line="240" w:lineRule="auto"/>
      </w:pPr>
      <w:r>
        <w:separator/>
      </w:r>
    </w:p>
  </w:footnote>
  <w:footnote w:type="continuationSeparator" w:id="0">
    <w:p w14:paraId="626608CA" w14:textId="77777777" w:rsidR="00603BC2" w:rsidRDefault="00603BC2" w:rsidP="0087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B727" w14:textId="06502F18" w:rsidR="00CE3A78" w:rsidRPr="006A2FBE" w:rsidRDefault="00CE3A78">
    <w:pPr>
      <w:pStyle w:val="En-tt"/>
      <w:rPr>
        <w:b/>
      </w:rPr>
    </w:pPr>
    <w:r w:rsidRPr="006A2FBE">
      <w:rPr>
        <w:b/>
      </w:rPr>
      <w:t xml:space="preserve">SYLLABUS </w:t>
    </w:r>
    <w:r w:rsidR="00814E5E">
      <w:rPr>
        <w:b/>
      </w:rPr>
      <w:t>MASTER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E2C"/>
    <w:multiLevelType w:val="hybridMultilevel"/>
    <w:tmpl w:val="9B326172"/>
    <w:lvl w:ilvl="0" w:tplc="9FAC060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7ED"/>
    <w:multiLevelType w:val="hybridMultilevel"/>
    <w:tmpl w:val="47D8C03C"/>
    <w:lvl w:ilvl="0" w:tplc="45869E9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7B4B18"/>
    <w:multiLevelType w:val="hybridMultilevel"/>
    <w:tmpl w:val="2CEE0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6278E"/>
    <w:multiLevelType w:val="hybridMultilevel"/>
    <w:tmpl w:val="4A16AB46"/>
    <w:lvl w:ilvl="0" w:tplc="8E0C0A5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6EAB"/>
    <w:multiLevelType w:val="hybridMultilevel"/>
    <w:tmpl w:val="05E441A2"/>
    <w:lvl w:ilvl="0" w:tplc="D286E64E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314C"/>
    <w:multiLevelType w:val="hybridMultilevel"/>
    <w:tmpl w:val="C706D9DC"/>
    <w:lvl w:ilvl="0" w:tplc="3C9EE138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23B2"/>
    <w:multiLevelType w:val="hybridMultilevel"/>
    <w:tmpl w:val="A3C8C8C6"/>
    <w:lvl w:ilvl="0" w:tplc="2ADCB09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2"/>
    <w:rsid w:val="00044B18"/>
    <w:rsid w:val="001B19A9"/>
    <w:rsid w:val="00252504"/>
    <w:rsid w:val="00281F37"/>
    <w:rsid w:val="002A6679"/>
    <w:rsid w:val="003005EF"/>
    <w:rsid w:val="00324BE8"/>
    <w:rsid w:val="00342108"/>
    <w:rsid w:val="003500C9"/>
    <w:rsid w:val="00385A42"/>
    <w:rsid w:val="00417D08"/>
    <w:rsid w:val="00435AF0"/>
    <w:rsid w:val="00494209"/>
    <w:rsid w:val="004C0974"/>
    <w:rsid w:val="0052644D"/>
    <w:rsid w:val="00582584"/>
    <w:rsid w:val="005E3B3C"/>
    <w:rsid w:val="005E45A8"/>
    <w:rsid w:val="00603BC2"/>
    <w:rsid w:val="00637C4E"/>
    <w:rsid w:val="006A2FBE"/>
    <w:rsid w:val="006A64E2"/>
    <w:rsid w:val="00732C63"/>
    <w:rsid w:val="00785E81"/>
    <w:rsid w:val="007F32D4"/>
    <w:rsid w:val="00814E5E"/>
    <w:rsid w:val="00873EFD"/>
    <w:rsid w:val="008C7649"/>
    <w:rsid w:val="008E172A"/>
    <w:rsid w:val="0097306C"/>
    <w:rsid w:val="009E4CAB"/>
    <w:rsid w:val="009F40F6"/>
    <w:rsid w:val="00A746D8"/>
    <w:rsid w:val="00AF6320"/>
    <w:rsid w:val="00B03005"/>
    <w:rsid w:val="00C843F4"/>
    <w:rsid w:val="00CD19A1"/>
    <w:rsid w:val="00CE3A78"/>
    <w:rsid w:val="00D03E27"/>
    <w:rsid w:val="00D90F23"/>
    <w:rsid w:val="00DA2E66"/>
    <w:rsid w:val="00F56951"/>
    <w:rsid w:val="00F87634"/>
    <w:rsid w:val="00FC4EDD"/>
    <w:rsid w:val="00FC6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6A1B2"/>
  <w15:docId w15:val="{23F0EEC5-61FB-44AB-B275-9F67D4F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4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843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B030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87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uiPriority w:val="99"/>
    <w:rsid w:val="00873EFD"/>
    <w:rPr>
      <w:rFonts w:cs="Times New Roman"/>
    </w:rPr>
  </w:style>
  <w:style w:type="paragraph" w:customStyle="1" w:styleId="Piedd">
    <w:name w:val="Pied d"/>
    <w:basedOn w:val="Normal"/>
    <w:uiPriority w:val="99"/>
    <w:rsid w:val="0087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  <w:rsid w:val="00873EFD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87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873EFD"/>
    <w:rPr>
      <w:rFonts w:ascii="Segoe UI" w:hAnsi="Segoe UI" w:cs="Segoe UI"/>
      <w:sz w:val="18"/>
    </w:rPr>
  </w:style>
  <w:style w:type="paragraph" w:customStyle="1" w:styleId="Default">
    <w:name w:val="Default"/>
    <w:uiPriority w:val="99"/>
    <w:rsid w:val="005E3B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4E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ED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C4E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EDD"/>
    <w:rPr>
      <w:sz w:val="22"/>
      <w:szCs w:val="22"/>
    </w:rPr>
  </w:style>
  <w:style w:type="paragraph" w:customStyle="1" w:styleId="Paragraphedeliste1">
    <w:name w:val="Paragraphe de liste1"/>
    <w:basedOn w:val="Normal"/>
    <w:uiPriority w:val="34"/>
    <w:qFormat/>
    <w:rsid w:val="008C7649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fr-FR"/>
    </w:rPr>
  </w:style>
  <w:style w:type="character" w:styleId="lev">
    <w:name w:val="Strong"/>
    <w:uiPriority w:val="22"/>
    <w:qFormat/>
    <w:rsid w:val="008C7649"/>
    <w:rPr>
      <w:rFonts w:cs="Times New Roman"/>
      <w:b/>
      <w:bCs/>
    </w:rPr>
  </w:style>
  <w:style w:type="character" w:styleId="Lienhypertexte">
    <w:name w:val="Hyperlink"/>
    <w:uiPriority w:val="99"/>
    <w:unhideWhenUsed/>
    <w:rsid w:val="005E45A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45A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2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tice.education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2i.education.fr/spip.php?article8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u-canope.fr/lagence-des-usage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scol.education.fr/numerique/dossier/dossiers-documentaires-tice/dossiers-documentaires-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abord.eduscol.educati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VIDOT</dc:creator>
  <cp:keywords/>
  <cp:lastModifiedBy>Jean Simon</cp:lastModifiedBy>
  <cp:revision>8</cp:revision>
  <dcterms:created xsi:type="dcterms:W3CDTF">2018-06-20T10:48:00Z</dcterms:created>
  <dcterms:modified xsi:type="dcterms:W3CDTF">2019-08-27T05:37:00Z</dcterms:modified>
</cp:coreProperties>
</file>