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1275"/>
        <w:gridCol w:w="1276"/>
        <w:gridCol w:w="4961"/>
        <w:tblGridChange w:id="0">
          <w:tblGrid>
            <w:gridCol w:w="2235"/>
            <w:gridCol w:w="1275"/>
            <w:gridCol w:w="1276"/>
            <w:gridCol w:w="4961"/>
          </w:tblGrid>
        </w:tblGridChange>
      </w:tblGrid>
      <w:tr>
        <w:tc>
          <w:tcPr>
            <w:gridSpan w:val="4"/>
          </w:tcPr>
          <w:p w:rsidR="00000000" w:rsidDel="00000000" w:rsidP="00000000" w:rsidRDefault="00000000" w:rsidRPr="00000000" w14:paraId="00000002">
            <w:pPr>
              <w:jc w:val="both"/>
              <w:rPr>
                <w:b w:val="1"/>
                <w:sz w:val="22"/>
                <w:szCs w:val="22"/>
              </w:rPr>
            </w:pPr>
            <w:bookmarkStart w:colFirst="0" w:colLast="0" w:name="_gjdgxs" w:id="0"/>
            <w:bookmarkEnd w:id="0"/>
            <w:r w:rsidDel="00000000" w:rsidR="00000000" w:rsidRPr="00000000">
              <w:rPr>
                <w:b w:val="1"/>
                <w:color w:val="000000"/>
                <w:sz w:val="22"/>
                <w:szCs w:val="22"/>
                <w:rtl w:val="0"/>
              </w:rPr>
              <w:t xml:space="preserve">IDENTIFICATION UE : 4.5 (PES) – 4.6 (étudiant)</w:t>
            </w:r>
            <w:r w:rsidDel="00000000" w:rsidR="00000000" w:rsidRPr="00000000">
              <w:rPr>
                <w:rtl w:val="0"/>
              </w:rPr>
            </w:r>
          </w:p>
        </w:tc>
      </w:tr>
      <w:tr>
        <w:tc>
          <w:tcPr>
            <w:gridSpan w:val="4"/>
          </w:tcPr>
          <w:p w:rsidR="00000000" w:rsidDel="00000000" w:rsidP="00000000" w:rsidRDefault="00000000" w:rsidRPr="00000000" w14:paraId="00000006">
            <w:pPr>
              <w:jc w:val="both"/>
              <w:rPr>
                <w:color w:val="000000"/>
              </w:rPr>
            </w:pPr>
            <w:r w:rsidDel="00000000" w:rsidR="00000000" w:rsidRPr="00000000">
              <w:rPr>
                <w:b w:val="1"/>
                <w:color w:val="000000"/>
                <w:rtl w:val="0"/>
              </w:rPr>
              <w:t xml:space="preserve">Intitulé : </w:t>
            </w:r>
            <w:r w:rsidDel="00000000" w:rsidR="00000000" w:rsidRPr="00000000">
              <w:rPr>
                <w:color w:val="000000"/>
                <w:rtl w:val="0"/>
              </w:rPr>
              <w:t xml:space="preserve">Problématiques de l'enseignement de la langue Française en Milieu Créolophone (approches socio et psycho linguistiques) </w:t>
            </w:r>
          </w:p>
          <w:p w:rsidR="00000000" w:rsidDel="00000000" w:rsidP="00000000" w:rsidRDefault="00000000" w:rsidRPr="00000000" w14:paraId="00000007">
            <w:pPr>
              <w:jc w:val="center"/>
              <w:rPr>
                <w:color w:val="000000"/>
              </w:rPr>
            </w:pPr>
            <w:r w:rsidDel="00000000" w:rsidR="00000000" w:rsidRPr="00000000">
              <w:rPr>
                <w:rtl w:val="0"/>
              </w:rPr>
            </w:r>
          </w:p>
          <w:p w:rsidR="00000000" w:rsidDel="00000000" w:rsidP="00000000" w:rsidRDefault="00000000" w:rsidRPr="00000000" w14:paraId="00000008">
            <w:pPr>
              <w:jc w:val="center"/>
              <w:rPr>
                <w:color w:val="000000"/>
              </w:rPr>
            </w:pPr>
            <w:r w:rsidDel="00000000" w:rsidR="00000000" w:rsidRPr="00000000">
              <w:rPr>
                <w:color w:val="000000"/>
                <w:rtl w:val="0"/>
              </w:rPr>
              <w:t xml:space="preserve">ENSEIGNER LE FRANÇAIS EN CONTEXTES</w:t>
            </w:r>
          </w:p>
          <w:p w:rsidR="00000000" w:rsidDel="00000000" w:rsidP="00000000" w:rsidRDefault="00000000" w:rsidRPr="00000000" w14:paraId="00000009">
            <w:pPr>
              <w:jc w:val="both"/>
              <w:rPr>
                <w:b w:val="1"/>
                <w:color w:val="000000"/>
              </w:rPr>
            </w:pPr>
            <w:r w:rsidDel="00000000" w:rsidR="00000000" w:rsidRPr="00000000">
              <w:rPr>
                <w:rtl w:val="0"/>
              </w:rPr>
            </w:r>
          </w:p>
        </w:tc>
      </w:tr>
      <w:tr>
        <w:tc>
          <w:tcPr/>
          <w:p w:rsidR="00000000" w:rsidDel="00000000" w:rsidP="00000000" w:rsidRDefault="00000000" w:rsidRPr="00000000" w14:paraId="0000000D">
            <w:pPr>
              <w:jc w:val="both"/>
              <w:rPr/>
            </w:pPr>
            <w:r w:rsidDel="00000000" w:rsidR="00000000" w:rsidRPr="00000000">
              <w:rPr>
                <w:color w:val="000000"/>
                <w:rtl w:val="0"/>
              </w:rPr>
              <w:t xml:space="preserve">Volume horaire :</w:t>
            </w:r>
            <w:r w:rsidDel="00000000" w:rsidR="00000000" w:rsidRPr="00000000">
              <w:rPr>
                <w:rtl w:val="0"/>
              </w:rPr>
            </w:r>
          </w:p>
        </w:tc>
        <w:tc>
          <w:tcPr/>
          <w:p w:rsidR="00000000" w:rsidDel="00000000" w:rsidP="00000000" w:rsidRDefault="00000000" w:rsidRPr="00000000" w14:paraId="0000000E">
            <w:pPr>
              <w:jc w:val="both"/>
              <w:rPr/>
            </w:pPr>
            <w:r w:rsidDel="00000000" w:rsidR="00000000" w:rsidRPr="00000000">
              <w:rPr>
                <w:color w:val="000000"/>
                <w:rtl w:val="0"/>
              </w:rPr>
              <w:t xml:space="preserve">8h CM</w:t>
            </w:r>
            <w:r w:rsidDel="00000000" w:rsidR="00000000" w:rsidRPr="00000000">
              <w:rPr>
                <w:rtl w:val="0"/>
              </w:rPr>
            </w:r>
          </w:p>
        </w:tc>
        <w:tc>
          <w:tcPr/>
          <w:p w:rsidR="00000000" w:rsidDel="00000000" w:rsidP="00000000" w:rsidRDefault="00000000" w:rsidRPr="00000000" w14:paraId="0000000F">
            <w:pPr>
              <w:jc w:val="both"/>
              <w:rPr/>
            </w:pPr>
            <w:r w:rsidDel="00000000" w:rsidR="00000000" w:rsidRPr="00000000">
              <w:rPr>
                <w:color w:val="000000"/>
                <w:rtl w:val="0"/>
              </w:rPr>
              <w:t xml:space="preserve">8h TD</w:t>
            </w:r>
            <w:r w:rsidDel="00000000" w:rsidR="00000000" w:rsidRPr="00000000">
              <w:rPr>
                <w:rtl w:val="0"/>
              </w:rPr>
            </w:r>
          </w:p>
        </w:tc>
        <w:tc>
          <w:tcPr/>
          <w:p w:rsidR="00000000" w:rsidDel="00000000" w:rsidP="00000000" w:rsidRDefault="00000000" w:rsidRPr="00000000" w14:paraId="00000010">
            <w:pPr>
              <w:jc w:val="both"/>
              <w:rPr/>
            </w:pPr>
            <w:r w:rsidDel="00000000" w:rsidR="00000000" w:rsidRPr="00000000">
              <w:rPr>
                <w:rtl w:val="0"/>
              </w:rPr>
            </w:r>
          </w:p>
        </w:tc>
      </w:tr>
      <w:tr>
        <w:tc>
          <w:tcPr>
            <w:vMerge w:val="restart"/>
          </w:tcPr>
          <w:p w:rsidR="00000000" w:rsidDel="00000000" w:rsidP="00000000" w:rsidRDefault="00000000" w:rsidRPr="00000000" w14:paraId="00000011">
            <w:pPr>
              <w:jc w:val="both"/>
              <w:rPr/>
            </w:pPr>
            <w:r w:rsidDel="00000000" w:rsidR="00000000" w:rsidRPr="00000000">
              <w:rPr>
                <w:rtl w:val="0"/>
              </w:rPr>
              <w:t xml:space="preserve">Intervenants ESPE</w:t>
            </w:r>
          </w:p>
        </w:tc>
        <w:tc>
          <w:tcPr>
            <w:gridSpan w:val="2"/>
          </w:tcPr>
          <w:p w:rsidR="00000000" w:rsidDel="00000000" w:rsidP="00000000" w:rsidRDefault="00000000" w:rsidRPr="00000000" w14:paraId="00000012">
            <w:pPr>
              <w:jc w:val="both"/>
              <w:rPr/>
            </w:pPr>
            <w:r w:rsidDel="00000000" w:rsidR="00000000" w:rsidRPr="00000000">
              <w:rPr>
                <w:rtl w:val="0"/>
              </w:rPr>
              <w:t xml:space="preserve">Logambal SOUPRAYEN-CAVERY</w:t>
            </w:r>
          </w:p>
        </w:tc>
        <w:tc>
          <w:tcPr/>
          <w:p w:rsidR="00000000" w:rsidDel="00000000" w:rsidP="00000000" w:rsidRDefault="00000000" w:rsidRPr="00000000" w14:paraId="00000014">
            <w:pPr>
              <w:jc w:val="both"/>
              <w:rPr/>
            </w:pPr>
            <w:r w:rsidDel="00000000" w:rsidR="00000000" w:rsidRPr="00000000">
              <w:rPr>
                <w:rtl w:val="0"/>
              </w:rPr>
              <w:t xml:space="preserve">Courriel :logambal.souprayen-cavery@univ-reunion.fr</w:t>
            </w:r>
          </w:p>
        </w:tc>
      </w:tr>
      <w:tr>
        <w:tc>
          <w:tcPr>
            <w:vMerge w:val="continue"/>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16">
            <w:pPr>
              <w:jc w:val="both"/>
              <w:rPr/>
            </w:pPr>
            <w:r w:rsidDel="00000000" w:rsidR="00000000" w:rsidRPr="00000000">
              <w:rPr>
                <w:rtl w:val="0"/>
              </w:rPr>
              <w:t xml:space="preserve">Liliane PELLETIER</w:t>
            </w:r>
          </w:p>
        </w:tc>
        <w:tc>
          <w:tcPr/>
          <w:p w:rsidR="00000000" w:rsidDel="00000000" w:rsidP="00000000" w:rsidRDefault="00000000" w:rsidRPr="00000000" w14:paraId="00000018">
            <w:pPr>
              <w:jc w:val="both"/>
              <w:rPr/>
            </w:pPr>
            <w:r w:rsidDel="00000000" w:rsidR="00000000" w:rsidRPr="00000000">
              <w:rPr>
                <w:rtl w:val="0"/>
              </w:rPr>
              <w:t xml:space="preserve">Courriel : liliane.pelletier@univ-reunion.fr</w:t>
            </w:r>
          </w:p>
        </w:tc>
      </w:tr>
      <w:tr>
        <w:tc>
          <w:tcPr>
            <w:vMerge w:val="restart"/>
          </w:tcPr>
          <w:p w:rsidR="00000000" w:rsidDel="00000000" w:rsidP="00000000" w:rsidRDefault="00000000" w:rsidRPr="00000000" w14:paraId="00000019">
            <w:pPr>
              <w:jc w:val="both"/>
              <w:rPr/>
            </w:pPr>
            <w:r w:rsidDel="00000000" w:rsidR="00000000" w:rsidRPr="00000000">
              <w:rPr>
                <w:rtl w:val="0"/>
              </w:rPr>
              <w:t xml:space="preserve">Intervenants Education nationale</w:t>
            </w:r>
          </w:p>
        </w:tc>
        <w:tc>
          <w:tcPr>
            <w:gridSpan w:val="2"/>
          </w:tcPr>
          <w:p w:rsidR="00000000" w:rsidDel="00000000" w:rsidP="00000000" w:rsidRDefault="00000000" w:rsidRPr="00000000" w14:paraId="0000001A">
            <w:pPr>
              <w:jc w:val="both"/>
              <w:rPr/>
            </w:pPr>
            <w:r w:rsidDel="00000000" w:rsidR="00000000" w:rsidRPr="00000000">
              <w:rPr>
                <w:rtl w:val="0"/>
              </w:rPr>
              <w:t xml:space="preserve">Co‐interventions avec des enseignants LCR</w:t>
            </w:r>
          </w:p>
        </w:tc>
        <w:tc>
          <w:tcPr/>
          <w:p w:rsidR="00000000" w:rsidDel="00000000" w:rsidP="00000000" w:rsidRDefault="00000000" w:rsidRPr="00000000" w14:paraId="0000001C">
            <w:pPr>
              <w:jc w:val="both"/>
              <w:rPr/>
            </w:pPr>
            <w:r w:rsidDel="00000000" w:rsidR="00000000" w:rsidRPr="00000000">
              <w:rPr>
                <w:rtl w:val="0"/>
              </w:rPr>
              <w:t xml:space="preserve">Courriel :</w:t>
            </w:r>
          </w:p>
        </w:tc>
      </w:tr>
      <w:tr>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1E">
            <w:pPr>
              <w:jc w:val="both"/>
              <w:rPr/>
            </w:pPr>
            <w:r w:rsidDel="00000000" w:rsidR="00000000" w:rsidRPr="00000000">
              <w:rPr>
                <w:rtl w:val="0"/>
              </w:rPr>
            </w:r>
          </w:p>
        </w:tc>
        <w:tc>
          <w:tcPr/>
          <w:p w:rsidR="00000000" w:rsidDel="00000000" w:rsidP="00000000" w:rsidRDefault="00000000" w:rsidRPr="00000000" w14:paraId="00000020">
            <w:pPr>
              <w:jc w:val="both"/>
              <w:rPr/>
            </w:pPr>
            <w:r w:rsidDel="00000000" w:rsidR="00000000" w:rsidRPr="00000000">
              <w:rPr>
                <w:rtl w:val="0"/>
              </w:rPr>
              <w:t xml:space="preserve">Courriel :</w:t>
            </w:r>
          </w:p>
        </w:tc>
      </w:tr>
      <w:tr>
        <w:tc>
          <w:tcPr>
            <w:vMerge w:val="continue"/>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22">
            <w:pPr>
              <w:jc w:val="both"/>
              <w:rPr/>
            </w:pPr>
            <w:r w:rsidDel="00000000" w:rsidR="00000000" w:rsidRPr="00000000">
              <w:rPr>
                <w:rtl w:val="0"/>
              </w:rPr>
            </w:r>
          </w:p>
        </w:tc>
        <w:tc>
          <w:tcPr/>
          <w:p w:rsidR="00000000" w:rsidDel="00000000" w:rsidP="00000000" w:rsidRDefault="00000000" w:rsidRPr="00000000" w14:paraId="00000024">
            <w:pPr>
              <w:jc w:val="both"/>
              <w:rPr/>
            </w:pPr>
            <w:r w:rsidDel="00000000" w:rsidR="00000000" w:rsidRPr="00000000">
              <w:rPr>
                <w:rtl w:val="0"/>
              </w:rPr>
              <w:t xml:space="preserve">Courriel :</w:t>
            </w:r>
          </w:p>
        </w:tc>
      </w:tr>
    </w:tb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rPr>
          <w:trHeight w:val="260" w:hRule="atLeast"/>
        </w:trPr>
        <w:tc>
          <w:tcPr/>
          <w:p w:rsidR="00000000" w:rsidDel="00000000" w:rsidP="00000000" w:rsidRDefault="00000000" w:rsidRPr="00000000" w14:paraId="00000026">
            <w:pPr>
              <w:jc w:val="both"/>
              <w:rPr>
                <w:i w:val="1"/>
                <w:color w:val="000000"/>
              </w:rPr>
            </w:pPr>
            <w:r w:rsidDel="00000000" w:rsidR="00000000" w:rsidRPr="00000000">
              <w:rPr>
                <w:color w:val="000000"/>
                <w:rtl w:val="0"/>
              </w:rPr>
              <w:t xml:space="preserve">Compétences acquises ou en cours d’acquisition :</w:t>
            </w:r>
            <w:r w:rsidDel="00000000" w:rsidR="00000000" w:rsidRPr="00000000">
              <w:rPr>
                <w:rtl w:val="0"/>
              </w:rPr>
            </w:r>
          </w:p>
        </w:tc>
      </w:tr>
      <w:tr>
        <w:tc>
          <w:tcPr/>
          <w:p w:rsidR="00000000" w:rsidDel="00000000" w:rsidP="00000000" w:rsidRDefault="00000000" w:rsidRPr="00000000" w14:paraId="00000027">
            <w:pPr>
              <w:jc w:val="both"/>
              <w:rPr/>
            </w:pPr>
            <w:r w:rsidDel="00000000" w:rsidR="00000000" w:rsidRPr="00000000">
              <w:rPr>
                <w:rtl w:val="0"/>
              </w:rPr>
              <w:t xml:space="preserve">- Concevoir et mettre en œuvre des situations d’enseignement-apprentissage du français en prenant en compte le contexte sociolinguistique réunionnais.</w:t>
            </w:r>
          </w:p>
          <w:p w:rsidR="00000000" w:rsidDel="00000000" w:rsidP="00000000" w:rsidRDefault="00000000" w:rsidRPr="00000000" w14:paraId="00000028">
            <w:pPr>
              <w:widowControl w:val="0"/>
              <w:jc w:val="both"/>
              <w:rPr/>
            </w:pPr>
            <w:r w:rsidDel="00000000" w:rsidR="00000000" w:rsidRPr="00000000">
              <w:rPr>
                <w:rtl w:val="0"/>
              </w:rPr>
              <w:t xml:space="preserve">- Evaluer les progrès et les acquisitions des élèves dans le domaine de la maîtrise de la langue française : repérer les difficultés des élèves afin de mieux assurer la progression des apprentissages.</w:t>
            </w:r>
          </w:p>
        </w:tc>
      </w:tr>
    </w:tbl>
    <w:p w:rsidR="00000000" w:rsidDel="00000000" w:rsidP="00000000" w:rsidRDefault="00000000" w:rsidRPr="00000000" w14:paraId="00000029">
      <w:pPr>
        <w:jc w:val="both"/>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02A">
            <w:pPr>
              <w:jc w:val="both"/>
              <w:rPr/>
            </w:pPr>
            <w:r w:rsidDel="00000000" w:rsidR="00000000" w:rsidRPr="00000000">
              <w:rPr>
                <w:color w:val="000000"/>
                <w:rtl w:val="0"/>
              </w:rPr>
              <w:t xml:space="preserve">Objectifs : Pour les étudiants…</w:t>
            </w:r>
            <w:r w:rsidDel="00000000" w:rsidR="00000000" w:rsidRPr="00000000">
              <w:rPr>
                <w:rtl w:val="0"/>
              </w:rPr>
            </w:r>
          </w:p>
        </w:tc>
      </w:tr>
      <w:tr>
        <w:tc>
          <w:tcPr/>
          <w:p w:rsidR="00000000" w:rsidDel="00000000" w:rsidP="00000000" w:rsidRDefault="00000000" w:rsidRPr="00000000" w14:paraId="0000002B">
            <w:pPr>
              <w:jc w:val="both"/>
              <w:rPr/>
            </w:pPr>
            <w:r w:rsidDel="00000000" w:rsidR="00000000" w:rsidRPr="00000000">
              <w:rPr>
                <w:rtl w:val="0"/>
              </w:rPr>
              <w:t xml:space="preserve">-Enseigner le français en tenant compte des compétences plurilingues et du contexte sociolinguistique réunionnais </w:t>
            </w:r>
          </w:p>
        </w:tc>
      </w:tr>
    </w:tbl>
    <w:p w:rsidR="00000000" w:rsidDel="00000000" w:rsidP="00000000" w:rsidRDefault="00000000" w:rsidRPr="00000000" w14:paraId="0000002C">
      <w:pPr>
        <w:jc w:val="both"/>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02D">
            <w:pPr>
              <w:jc w:val="both"/>
              <w:rPr/>
            </w:pPr>
            <w:r w:rsidDel="00000000" w:rsidR="00000000" w:rsidRPr="00000000">
              <w:rPr>
                <w:color w:val="000000"/>
                <w:rtl w:val="0"/>
              </w:rPr>
              <w:t xml:space="preserve">Contenu pédagogique : </w:t>
            </w:r>
            <w:r w:rsidDel="00000000" w:rsidR="00000000" w:rsidRPr="00000000">
              <w:rPr>
                <w:rtl w:val="0"/>
              </w:rPr>
              <w:t xml:space="preserve">"</w:t>
            </w:r>
            <w:r w:rsidDel="00000000" w:rsidR="00000000" w:rsidRPr="00000000">
              <w:rPr>
                <w:u w:val="single"/>
                <w:rtl w:val="0"/>
              </w:rPr>
              <w:t xml:space="preserve">Notions abordées et modalités pédagogiques</w:t>
            </w:r>
            <w:r w:rsidDel="00000000" w:rsidR="00000000" w:rsidRPr="00000000">
              <w:rPr>
                <w:rtl w:val="0"/>
              </w:rPr>
              <w:t xml:space="preserve">".</w:t>
            </w:r>
          </w:p>
        </w:tc>
      </w:tr>
      <w:tr>
        <w:tc>
          <w:tcPr/>
          <w:p w:rsidR="00000000" w:rsidDel="00000000" w:rsidP="00000000" w:rsidRDefault="00000000" w:rsidRPr="00000000" w14:paraId="0000002E">
            <w:pPr>
              <w:jc w:val="both"/>
              <w:rPr/>
            </w:pPr>
            <w:r w:rsidDel="00000000" w:rsidR="00000000" w:rsidRPr="00000000">
              <w:rPr>
                <w:rtl w:val="0"/>
              </w:rPr>
              <w:t xml:space="preserve">A la Réunion, les résultats de nombreux travaux portant sur les fonctions et usages du créole en milieu scolaire (Génelot et Tupin, 2003; Tupin et Françoise, 2004) montrent que les représentations ainsi que les modes d’utilisation du créole et du français ne sont pas analogues. Le français est langue d'enseignement et souvent seul vecteur de communication en classe. Le créole est langue de socialisation, utilisé principalement dans la sphère familiale, dans la cour de l'école et peu en classe. Certains élèves alternent créole et français au cours des travaux de groupe, lors d’explications de textes et pour prendre la parole en classe. D'autres sont plutôt en insécurité linguistique et adoptent alors des comportements mutiques ou sont dans l'hypercorrection. Enfin, on assiste souvent à des pratiques interlectales.</w:t>
            </w:r>
          </w:p>
          <w:p w:rsidR="00000000" w:rsidDel="00000000" w:rsidP="00000000" w:rsidRDefault="00000000" w:rsidRPr="00000000" w14:paraId="0000002F">
            <w:pPr>
              <w:jc w:val="both"/>
              <w:rPr/>
            </w:pPr>
            <w:r w:rsidDel="00000000" w:rsidR="00000000" w:rsidRPr="00000000">
              <w:rPr>
                <w:rtl w:val="0"/>
              </w:rPr>
              <w:t xml:space="preserve">Ce cours de 16h aborde les problématiques de l’enseignement du français en milieu créolophone selon deux approches : sociolinguistique et psycholinguistique. Il conduira les étudiants à concevoir et mettre en œuvre en stage des situations d’enseignement-apprentissage du français en contextes.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b w:val="1"/>
                <w:rtl w:val="0"/>
              </w:rPr>
              <w:t xml:space="preserve">Notions abordées : </w:t>
            </w:r>
          </w:p>
          <w:p w:rsidR="00000000" w:rsidDel="00000000" w:rsidP="00000000" w:rsidRDefault="00000000" w:rsidRPr="00000000" w14:paraId="00000032">
            <w:pPr>
              <w:rPr/>
            </w:pPr>
            <w:r w:rsidDel="00000000" w:rsidR="00000000" w:rsidRPr="00000000">
              <w:rPr>
                <w:rtl w:val="0"/>
              </w:rPr>
              <w:t xml:space="preserve">- Présentation de la situation sociolinguistique de La Réunion dans une perspective historique.</w:t>
            </w:r>
          </w:p>
          <w:p w:rsidR="00000000" w:rsidDel="00000000" w:rsidP="00000000" w:rsidRDefault="00000000" w:rsidRPr="00000000" w14:paraId="00000033">
            <w:pPr>
              <w:rPr/>
            </w:pPr>
            <w:r w:rsidDel="00000000" w:rsidR="00000000" w:rsidRPr="00000000">
              <w:rPr>
                <w:rtl w:val="0"/>
              </w:rPr>
              <w:t xml:space="preserve">- Le contexte sociolinguistique réunionnais (les pratiques et les représentations linguistiques des Réunionnais) et les incidences didactiques.</w:t>
            </w:r>
          </w:p>
          <w:p w:rsidR="00000000" w:rsidDel="00000000" w:rsidP="00000000" w:rsidRDefault="00000000" w:rsidRPr="00000000" w14:paraId="00000034">
            <w:pPr>
              <w:rPr/>
            </w:pPr>
            <w:r w:rsidDel="00000000" w:rsidR="00000000" w:rsidRPr="00000000">
              <w:rPr>
                <w:rtl w:val="0"/>
              </w:rPr>
              <w:t xml:space="preserve">- La biographie langagière : un outil socio-didactique écologique.</w:t>
            </w:r>
          </w:p>
          <w:p w:rsidR="00000000" w:rsidDel="00000000" w:rsidP="00000000" w:rsidRDefault="00000000" w:rsidRPr="00000000" w14:paraId="00000035">
            <w:pPr>
              <w:rPr/>
            </w:pPr>
            <w:r w:rsidDel="00000000" w:rsidR="00000000" w:rsidRPr="00000000">
              <w:rPr>
                <w:rtl w:val="0"/>
              </w:rPr>
              <w:t xml:space="preserve">- Analyse linguistique comparée du créole réunionnais et du français à partir d'énoncés mélangés produits par des élèves réunionnais.</w:t>
            </w:r>
          </w:p>
          <w:p w:rsidR="00000000" w:rsidDel="00000000" w:rsidP="00000000" w:rsidRDefault="00000000" w:rsidRPr="00000000" w14:paraId="00000036">
            <w:pPr>
              <w:rPr/>
            </w:pPr>
            <w:r w:rsidDel="00000000" w:rsidR="00000000" w:rsidRPr="00000000">
              <w:rPr>
                <w:rtl w:val="0"/>
              </w:rPr>
              <w:t xml:space="preserve">- Analyse de pratiques d’enseignement-apprentissage relatives aux dispositifs mis en place par l’Académie de La Réunion pour la LVR (les classes bilingues, l’enseignement de la LVR, etc).</w:t>
            </w:r>
          </w:p>
          <w:p w:rsidR="00000000" w:rsidDel="00000000" w:rsidP="00000000" w:rsidRDefault="00000000" w:rsidRPr="00000000" w14:paraId="00000037">
            <w:pPr>
              <w:rPr/>
            </w:pPr>
            <w:r w:rsidDel="00000000" w:rsidR="00000000" w:rsidRPr="00000000">
              <w:rPr>
                <w:rtl w:val="0"/>
              </w:rPr>
              <w:t xml:space="preserve">- Le bilinguisme et ses mythes</w:t>
            </w:r>
          </w:p>
          <w:p w:rsidR="00000000" w:rsidDel="00000000" w:rsidP="00000000" w:rsidRDefault="00000000" w:rsidRPr="00000000" w14:paraId="00000038">
            <w:pPr>
              <w:rPr/>
            </w:pPr>
            <w:r w:rsidDel="00000000" w:rsidR="00000000" w:rsidRPr="00000000">
              <w:rPr>
                <w:rtl w:val="0"/>
              </w:rPr>
              <w:t xml:space="preserve">- La question du bilinguisme et des acquisitions scolaires (approche psycholinguistique)</w:t>
            </w:r>
          </w:p>
          <w:p w:rsidR="00000000" w:rsidDel="00000000" w:rsidP="00000000" w:rsidRDefault="00000000" w:rsidRPr="00000000" w14:paraId="00000039">
            <w:pPr>
              <w:rPr/>
            </w:pPr>
            <w:r w:rsidDel="00000000" w:rsidR="00000000" w:rsidRPr="00000000">
              <w:rPr>
                <w:rtl w:val="0"/>
              </w:rPr>
              <w:t xml:space="preserve">- L’enseignement-apprentissages en contextes : un modèle systémique approprié</w:t>
            </w:r>
          </w:p>
          <w:p w:rsidR="00000000" w:rsidDel="00000000" w:rsidP="00000000" w:rsidRDefault="00000000" w:rsidRPr="00000000" w14:paraId="0000003A">
            <w:pPr>
              <w:rPr/>
            </w:pPr>
            <w:r w:rsidDel="00000000" w:rsidR="00000000" w:rsidRPr="00000000">
              <w:rPr>
                <w:rtl w:val="0"/>
              </w:rPr>
              <w:t xml:space="preserve">- Approches didactiques : quels enjeux ? quelles pratiques ? Des pistes pédagogiques à la</w:t>
            </w:r>
          </w:p>
          <w:p w:rsidR="00000000" w:rsidDel="00000000" w:rsidP="00000000" w:rsidRDefault="00000000" w:rsidRPr="00000000" w14:paraId="0000003B">
            <w:pPr>
              <w:rPr/>
            </w:pPr>
            <w:r w:rsidDel="00000000" w:rsidR="00000000" w:rsidRPr="00000000">
              <w:rPr>
                <w:rtl w:val="0"/>
              </w:rPr>
              <w:t xml:space="preserve">conception, mise en œuvre et évaluation de situations d'enseignement-apprentissage susceptibles de favoriser l'enseignement du français en milieu créolophone.</w:t>
            </w:r>
          </w:p>
          <w:p w:rsidR="00000000" w:rsidDel="00000000" w:rsidP="00000000" w:rsidRDefault="00000000" w:rsidRPr="00000000" w14:paraId="0000003C">
            <w:pPr>
              <w:jc w:val="both"/>
              <w:rPr/>
            </w:pPr>
            <w:r w:rsidDel="00000000" w:rsidR="00000000" w:rsidRPr="00000000">
              <w:rPr>
                <w:rtl w:val="0"/>
              </w:rPr>
              <w:t xml:space="preserve">- Analyser ses pratiques, lors des stages, dans le domaine de la maîtrise de la langue, et envisager des remédiations aux difficultés rencontrées.</w:t>
            </w:r>
          </w:p>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jc w:val="both"/>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3"/>
        <w:gridCol w:w="5144"/>
        <w:tblGridChange w:id="0">
          <w:tblGrid>
            <w:gridCol w:w="4603"/>
            <w:gridCol w:w="5144"/>
          </w:tblGrid>
        </w:tblGridChange>
      </w:tblGrid>
      <w:tr>
        <w:tc>
          <w:tcPr>
            <w:gridSpan w:val="2"/>
          </w:tcPr>
          <w:p w:rsidR="00000000" w:rsidDel="00000000" w:rsidP="00000000" w:rsidRDefault="00000000" w:rsidRPr="00000000" w14:paraId="0000003F">
            <w:pPr>
              <w:jc w:val="both"/>
              <w:rPr/>
            </w:pPr>
            <w:r w:rsidDel="00000000" w:rsidR="00000000" w:rsidRPr="00000000">
              <w:rPr>
                <w:color w:val="000000"/>
                <w:rtl w:val="0"/>
              </w:rPr>
              <w:t xml:space="preserve">Modalités d'évaluation des connaissances et des compétences</w:t>
            </w:r>
            <w:r w:rsidDel="00000000" w:rsidR="00000000" w:rsidRPr="00000000">
              <w:rPr>
                <w:rtl w:val="0"/>
              </w:rPr>
            </w:r>
          </w:p>
        </w:tc>
      </w:tr>
      <w:tr>
        <w:tc>
          <w:tcPr/>
          <w:p w:rsidR="00000000" w:rsidDel="00000000" w:rsidP="00000000" w:rsidRDefault="00000000" w:rsidRPr="00000000" w14:paraId="00000041">
            <w:pPr>
              <w:jc w:val="both"/>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ère</w:t>
            </w:r>
            <w:r w:rsidDel="00000000" w:rsidR="00000000" w:rsidRPr="00000000">
              <w:rPr>
                <w:color w:val="000000"/>
                <w:rtl w:val="0"/>
              </w:rPr>
              <w:t xml:space="preserve"> session :</w:t>
            </w:r>
          </w:p>
          <w:p w:rsidR="00000000" w:rsidDel="00000000" w:rsidP="00000000" w:rsidRDefault="00000000" w:rsidRPr="00000000" w14:paraId="00000042">
            <w:pPr>
              <w:jc w:val="both"/>
              <w:rPr/>
            </w:pPr>
            <w:r w:rsidDel="00000000" w:rsidR="00000000" w:rsidRPr="00000000">
              <w:rPr>
                <w:rtl w:val="0"/>
              </w:rPr>
              <w:t xml:space="preserve">dossier </w:t>
            </w:r>
          </w:p>
        </w:tc>
        <w:tc>
          <w:tcPr/>
          <w:p w:rsidR="00000000" w:rsidDel="00000000" w:rsidP="00000000" w:rsidRDefault="00000000" w:rsidRPr="00000000" w14:paraId="00000043">
            <w:pPr>
              <w:jc w:val="both"/>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ème</w:t>
            </w:r>
            <w:r w:rsidDel="00000000" w:rsidR="00000000" w:rsidRPr="00000000">
              <w:rPr>
                <w:color w:val="000000"/>
                <w:rtl w:val="0"/>
              </w:rPr>
              <w:t xml:space="preserve"> session :</w:t>
            </w:r>
          </w:p>
          <w:p w:rsidR="00000000" w:rsidDel="00000000" w:rsidP="00000000" w:rsidRDefault="00000000" w:rsidRPr="00000000" w14:paraId="00000044">
            <w:pPr>
              <w:jc w:val="both"/>
              <w:rPr>
                <w:color w:val="000000"/>
              </w:rPr>
            </w:pPr>
            <w:r w:rsidDel="00000000" w:rsidR="00000000" w:rsidRPr="00000000">
              <w:rPr>
                <w:rtl w:val="0"/>
              </w:rPr>
              <w:t xml:space="preserve">dossier ou écrit sur table</w:t>
            </w: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tc>
      </w:tr>
    </w:tbl>
    <w:p w:rsidR="00000000" w:rsidDel="00000000" w:rsidP="00000000" w:rsidRDefault="00000000" w:rsidRPr="00000000" w14:paraId="00000046">
      <w:pPr>
        <w:jc w:val="both"/>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047">
            <w:pPr>
              <w:jc w:val="both"/>
              <w:rPr>
                <w:i w:val="1"/>
                <w:color w:val="000000"/>
              </w:rPr>
            </w:pPr>
            <w:r w:rsidDel="00000000" w:rsidR="00000000" w:rsidRPr="00000000">
              <w:rPr>
                <w:color w:val="000000"/>
                <w:rtl w:val="0"/>
              </w:rPr>
              <w:t xml:space="preserve">Ressources documentaires : </w:t>
            </w:r>
            <w:r w:rsidDel="00000000" w:rsidR="00000000" w:rsidRPr="00000000">
              <w:rPr>
                <w:rtl w:val="0"/>
              </w:rPr>
            </w:r>
          </w:p>
        </w:tc>
      </w:tr>
      <w:tr>
        <w:tc>
          <w:tcPr/>
          <w:p w:rsidR="00000000" w:rsidDel="00000000" w:rsidP="00000000" w:rsidRDefault="00000000" w:rsidRPr="00000000" w14:paraId="00000048">
            <w:pPr>
              <w:shd w:fill="ffffff" w:val="clear"/>
              <w:ind w:right="403"/>
              <w:jc w:val="both"/>
              <w:rPr>
                <w:color w:val="000000"/>
              </w:rPr>
            </w:pPr>
            <w:r w:rsidDel="00000000" w:rsidR="00000000" w:rsidRPr="00000000">
              <w:rPr>
                <w:color w:val="000000"/>
                <w:rtl w:val="0"/>
              </w:rPr>
              <w:t xml:space="preserve">Cortier, C. (2009). Propositions sociodidactiques face à la diversité des contextes. Vers une didactique convergente des langues collatérales et de proximité : éducation bi/plurilingue et projets interlinguistiques. </w:t>
            </w:r>
            <w:r w:rsidDel="00000000" w:rsidR="00000000" w:rsidRPr="00000000">
              <w:rPr>
                <w:i w:val="1"/>
                <w:color w:val="000000"/>
                <w:rtl w:val="0"/>
              </w:rPr>
              <w:t xml:space="preserve">Synergies, 5,</w:t>
            </w:r>
            <w:r w:rsidDel="00000000" w:rsidR="00000000" w:rsidRPr="00000000">
              <w:rPr>
                <w:color w:val="000000"/>
                <w:rtl w:val="0"/>
              </w:rPr>
              <w:t xml:space="preserve"> 109-118. </w:t>
            </w:r>
          </w:p>
          <w:p w:rsidR="00000000" w:rsidDel="00000000" w:rsidP="00000000" w:rsidRDefault="00000000" w:rsidRPr="00000000" w14:paraId="00000049">
            <w:pPr>
              <w:shd w:fill="ffffff" w:val="clear"/>
              <w:ind w:right="403"/>
              <w:jc w:val="both"/>
              <w:rPr>
                <w:color w:val="000000"/>
              </w:rPr>
            </w:pPr>
            <w:r w:rsidDel="00000000" w:rsidR="00000000" w:rsidRPr="00000000">
              <w:rPr>
                <w:color w:val="000000"/>
                <w:rtl w:val="0"/>
              </w:rPr>
              <w:t xml:space="preserve">Dolz-Mestre, J. &amp; Tupin, F. (2011). La notion de situation dans l'étude des phénomènes d'enseignement et d'apprentissage des langues : vers une perspective socio-didactique. </w:t>
            </w:r>
            <w:r w:rsidDel="00000000" w:rsidR="00000000" w:rsidRPr="00000000">
              <w:rPr>
                <w:i w:val="1"/>
                <w:color w:val="000000"/>
                <w:rtl w:val="0"/>
              </w:rPr>
              <w:t xml:space="preserve">Recherches en éducation, 12</w:t>
            </w:r>
            <w:r w:rsidDel="00000000" w:rsidR="00000000" w:rsidRPr="00000000">
              <w:rPr>
                <w:color w:val="000000"/>
                <w:rtl w:val="0"/>
              </w:rPr>
              <w:t xml:space="preserve">, 82-97. </w:t>
            </w:r>
          </w:p>
          <w:p w:rsidR="00000000" w:rsidDel="00000000" w:rsidP="00000000" w:rsidRDefault="00000000" w:rsidRPr="00000000" w14:paraId="0000004A">
            <w:pPr>
              <w:shd w:fill="ffffff" w:val="clear"/>
              <w:ind w:right="403"/>
              <w:jc w:val="both"/>
              <w:rPr>
                <w:color w:val="000000"/>
              </w:rPr>
            </w:pPr>
            <w:r w:rsidDel="00000000" w:rsidR="00000000" w:rsidRPr="00000000">
              <w:rPr>
                <w:color w:val="000000"/>
                <w:rtl w:val="0"/>
              </w:rPr>
              <w:t xml:space="preserve">Grosjean, F. (2015). Bicultural bilinguals. </w:t>
            </w:r>
            <w:r w:rsidDel="00000000" w:rsidR="00000000" w:rsidRPr="00000000">
              <w:rPr>
                <w:i w:val="1"/>
                <w:color w:val="000000"/>
                <w:rtl w:val="0"/>
              </w:rPr>
              <w:t xml:space="preserve">International Journal of Bilingualism</w:t>
            </w:r>
            <w:r w:rsidDel="00000000" w:rsidR="00000000" w:rsidRPr="00000000">
              <w:rPr>
                <w:color w:val="000000"/>
                <w:rtl w:val="0"/>
              </w:rPr>
              <w:t xml:space="preserve">, </w:t>
            </w:r>
            <w:r w:rsidDel="00000000" w:rsidR="00000000" w:rsidRPr="00000000">
              <w:rPr>
                <w:i w:val="1"/>
                <w:color w:val="000000"/>
                <w:rtl w:val="0"/>
              </w:rPr>
              <w:t xml:space="preserve">19(5),</w:t>
            </w:r>
            <w:r w:rsidDel="00000000" w:rsidR="00000000" w:rsidRPr="00000000">
              <w:rPr>
                <w:color w:val="000000"/>
                <w:rtl w:val="0"/>
              </w:rPr>
              <w:t xml:space="preserve"> 572-586.</w:t>
            </w:r>
          </w:p>
          <w:p w:rsidR="00000000" w:rsidDel="00000000" w:rsidP="00000000" w:rsidRDefault="00000000" w:rsidRPr="00000000" w14:paraId="0000004B">
            <w:pPr>
              <w:shd w:fill="ffffff" w:val="clear"/>
              <w:ind w:right="403"/>
              <w:jc w:val="both"/>
              <w:rPr>
                <w:color w:val="000000"/>
              </w:rPr>
            </w:pPr>
            <w:r w:rsidDel="00000000" w:rsidR="00000000" w:rsidRPr="00000000">
              <w:rPr>
                <w:color w:val="000000"/>
                <w:rtl w:val="0"/>
              </w:rPr>
              <w:t xml:space="preserve">Grosjean, F. (2015). </w:t>
            </w:r>
            <w:r w:rsidDel="00000000" w:rsidR="00000000" w:rsidRPr="00000000">
              <w:rPr>
                <w:i w:val="1"/>
                <w:color w:val="000000"/>
                <w:rtl w:val="0"/>
              </w:rPr>
              <w:t xml:space="preserve">Parler plusieurs langues : le monde des bilingues</w:t>
            </w:r>
            <w:r w:rsidDel="00000000" w:rsidR="00000000" w:rsidRPr="00000000">
              <w:rPr>
                <w:color w:val="000000"/>
                <w:rtl w:val="0"/>
              </w:rPr>
              <w:t xml:space="preserve">. Paris : Albin Michel.</w:t>
            </w:r>
          </w:p>
          <w:p w:rsidR="00000000" w:rsidDel="00000000" w:rsidP="00000000" w:rsidRDefault="00000000" w:rsidRPr="00000000" w14:paraId="0000004C">
            <w:pPr>
              <w:jc w:val="both"/>
              <w:rPr/>
            </w:pPr>
            <w:r w:rsidDel="00000000" w:rsidR="00000000" w:rsidRPr="00000000">
              <w:rPr>
                <w:rtl w:val="0"/>
              </w:rPr>
              <w:t xml:space="preserve">Prudent L-F., </w:t>
            </w:r>
            <w:r w:rsidDel="00000000" w:rsidR="00000000" w:rsidRPr="00000000">
              <w:rPr>
                <w:color w:val="000000"/>
                <w:rtl w:val="0"/>
              </w:rPr>
              <w:t xml:space="preserve">Tupin, F. </w:t>
            </w:r>
            <w:r w:rsidDel="00000000" w:rsidR="00000000" w:rsidRPr="00000000">
              <w:rPr>
                <w:rtl w:val="0"/>
              </w:rPr>
              <w:t xml:space="preserve">et Wharton, S. (2005) (eds.). </w:t>
            </w:r>
            <w:r w:rsidDel="00000000" w:rsidR="00000000" w:rsidRPr="00000000">
              <w:rPr>
                <w:i w:val="1"/>
                <w:rtl w:val="0"/>
              </w:rPr>
              <w:t xml:space="preserve">Du plurilinguisme à l’école. Vers une gestion coordonnée des langues en contextes éducatifs sensibles. </w:t>
            </w:r>
            <w:r w:rsidDel="00000000" w:rsidR="00000000" w:rsidRPr="00000000">
              <w:rPr>
                <w:rtl w:val="0"/>
              </w:rPr>
              <w:t xml:space="preserve">Berne : Peter Lang.</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120"/>
              </w:tabs>
              <w:spacing w:after="0" w:before="0" w:line="240" w:lineRule="auto"/>
              <w:ind w:left="0" w:right="16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Souprayen-Cavery L. (2010). </w:t>
            </w:r>
            <w:r w:rsidDel="00000000" w:rsidR="00000000" w:rsidRPr="00000000">
              <w:rPr>
                <w:rFonts w:ascii="Cambria" w:cs="Cambria" w:eastAsia="Cambria" w:hAnsi="Cambria"/>
                <w:b w:val="0"/>
                <w:i w:val="1"/>
                <w:smallCaps w:val="0"/>
                <w:strike w:val="0"/>
                <w:color w:val="000000"/>
                <w:sz w:val="24"/>
                <w:szCs w:val="24"/>
                <w:u w:val="none"/>
                <w:shd w:fill="auto" w:val="clear"/>
                <w:vertAlign w:val="superscript"/>
                <w:rtl w:val="0"/>
              </w:rPr>
              <w:t xml:space="preserve">L’interlecte réunionnais : approche sociolinguistique des pratiques et des représentations. </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Paris : L’Harmattan.</w:t>
            </w:r>
          </w:p>
          <w:p w:rsidR="00000000" w:rsidDel="00000000" w:rsidP="00000000" w:rsidRDefault="00000000" w:rsidRPr="00000000" w14:paraId="0000004E">
            <w:pPr>
              <w:jc w:val="both"/>
              <w:rPr/>
            </w:pPr>
            <w:r w:rsidDel="00000000" w:rsidR="00000000" w:rsidRPr="00000000">
              <w:rPr>
                <w:rtl w:val="0"/>
              </w:rPr>
              <w:t xml:space="preserve">Site de François GROSJEAN : </w:t>
            </w:r>
            <w:hyperlink r:id="rId6">
              <w:r w:rsidDel="00000000" w:rsidR="00000000" w:rsidRPr="00000000">
                <w:rPr>
                  <w:color w:val="0000ff"/>
                  <w:u w:val="single"/>
                  <w:rtl w:val="0"/>
                </w:rPr>
                <w:t xml:space="preserve">http://www.francoisgrosjean.ch</w:t>
              </w:r>
            </w:hyperlink>
            <w:r w:rsidDel="00000000" w:rsidR="00000000" w:rsidRPr="00000000">
              <w:rPr>
                <w:rtl w:val="0"/>
              </w:rPr>
              <w:t xml:space="preserve"> (en anglais et en français)</w:t>
            </w:r>
          </w:p>
          <w:p w:rsidR="00000000" w:rsidDel="00000000" w:rsidP="00000000" w:rsidRDefault="00000000" w:rsidRPr="00000000" w14:paraId="0000004F">
            <w:pPr>
              <w:jc w:val="both"/>
              <w:rPr/>
            </w:pPr>
            <w:r w:rsidDel="00000000" w:rsidR="00000000" w:rsidRPr="00000000">
              <w:rPr>
                <w:rtl w:val="0"/>
              </w:rPr>
              <w:t xml:space="preserve">Site ELODIL : </w:t>
            </w:r>
            <w:hyperlink r:id="rId7">
              <w:r w:rsidDel="00000000" w:rsidR="00000000" w:rsidRPr="00000000">
                <w:rPr>
                  <w:color w:val="1155cc"/>
                  <w:u w:val="single"/>
                  <w:rtl w:val="0"/>
                </w:rPr>
                <w:t xml:space="preserve">https://www.elodil.umontreal.ca/liens-utiles/eveil-aux-langues/</w:t>
              </w:r>
            </w:hyperlink>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Ouvrir à la diversité des langues (activités de classe) : </w:t>
            </w:r>
            <w:hyperlink r:id="rId8">
              <w:r w:rsidDel="00000000" w:rsidR="00000000" w:rsidRPr="00000000">
                <w:rPr>
                  <w:color w:val="1155cc"/>
                  <w:u w:val="single"/>
                  <w:rtl w:val="0"/>
                </w:rPr>
                <w:t xml:space="preserve">https://www.projetpluri-l.org/component/content/article?id=85</w:t>
              </w:r>
            </w:hyperlink>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tc>
      </w:tr>
    </w:tbl>
    <w:p w:rsidR="00000000" w:rsidDel="00000000" w:rsidP="00000000" w:rsidRDefault="00000000" w:rsidRPr="00000000" w14:paraId="00000052">
      <w:pPr>
        <w:jc w:val="both"/>
        <w:rPr>
          <w:sz w:val="22"/>
          <w:szCs w:val="22"/>
        </w:rPr>
      </w:pPr>
      <w:r w:rsidDel="00000000" w:rsidR="00000000" w:rsidRPr="00000000">
        <w:rPr>
          <w:rtl w:val="0"/>
        </w:rPr>
      </w:r>
    </w:p>
    <w:sectPr>
      <w:pgSz w:h="16840" w:w="11900"/>
      <w:pgMar w:bottom="1417" w:top="85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rancoisgrosjean.ch" TargetMode="External"/><Relationship Id="rId7" Type="http://schemas.openxmlformats.org/officeDocument/2006/relationships/hyperlink" Target="https://www.elodil.umontreal.ca/liens-utiles/eveil-aux-langues/" TargetMode="External"/><Relationship Id="rId8" Type="http://schemas.openxmlformats.org/officeDocument/2006/relationships/hyperlink" Target="https://www.projetpluri-l.org/component/content/article?id=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