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4-1 B</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Intitulé : DÉVELOPPEMENT PROFESSIONNEL EN MATHÉMATIQUES 2</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16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Bénard Emmanuel</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 emmanuel.benard@univ-reunion.fr</w:t>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rtl w:val="0"/>
              </w:rPr>
              <w:t xml:space="preserve">TIENNOT Luc</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 </w:t>
            </w:r>
            <w:r w:rsidDel="00000000" w:rsidR="00000000" w:rsidRPr="00000000">
              <w:rPr>
                <w:rtl w:val="0"/>
              </w:rPr>
              <w:t xml:space="preserve">luc.tiennot</w:t>
            </w:r>
            <w:r w:rsidDel="00000000" w:rsidR="00000000" w:rsidRPr="00000000">
              <w:rPr>
                <w:color w:val="000000"/>
                <w:rtl w:val="0"/>
              </w:rPr>
              <w:t xml:space="preserve">@univ-reunion.fr</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bookmarkStart w:colFirst="0" w:colLast="0" w:name="_gjdgxs" w:id="0"/>
            <w:bookmarkEnd w:id="0"/>
            <w:r w:rsidDel="00000000" w:rsidR="00000000" w:rsidRPr="00000000">
              <w:rPr>
                <w:color w:val="000000"/>
                <w:rtl w:val="0"/>
              </w:rPr>
              <w:t xml:space="preserve">Lemaire Catherine </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 catherine.lemaire@univ-reunion.fr</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t xml:space="preserve">BLANCHARD Claire</w:t>
            </w: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claire-marie.laroche-joubert@ac-reunion.fr</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widowControl w:val="0"/>
              <w:numPr>
                <w:ilvl w:val="0"/>
                <w:numId w:val="2"/>
              </w:numPr>
              <w:spacing w:after="0" w:line="240" w:lineRule="auto"/>
              <w:ind w:left="720" w:hanging="360"/>
              <w:rPr>
                <w:color w:val="000000"/>
              </w:rPr>
            </w:pPr>
            <w:r w:rsidDel="00000000" w:rsidR="00000000" w:rsidRPr="00000000">
              <w:rPr>
                <w:color w:val="000000"/>
                <w:rtl w:val="0"/>
              </w:rPr>
              <w:t xml:space="preserve">À partir de projets pédagogiques disciplinaires ou interdisciplinaires, mettre en place des séquences répondant aux exigences de l’institution et adaptées aux différents profils d’élèves rencontrés dans une classe. La différenciation pédagogique sera un des points centraux de la réflexion des stagiaires.</w:t>
            </w:r>
          </w:p>
          <w:p w:rsidR="00000000" w:rsidDel="00000000" w:rsidP="00000000" w:rsidRDefault="00000000" w:rsidRPr="00000000" w14:paraId="0000004B">
            <w:pPr>
              <w:widowControl w:val="0"/>
              <w:numPr>
                <w:ilvl w:val="0"/>
                <w:numId w:val="2"/>
              </w:numPr>
              <w:spacing w:after="0" w:line="240" w:lineRule="auto"/>
              <w:ind w:left="720" w:hanging="360"/>
              <w:rPr>
                <w:color w:val="000000"/>
              </w:rPr>
            </w:pPr>
            <w:r w:rsidDel="00000000" w:rsidR="00000000" w:rsidRPr="00000000">
              <w:rPr>
                <w:color w:val="000000"/>
                <w:rtl w:val="0"/>
              </w:rPr>
              <w:t xml:space="preserve">Ces projets se feront par le filtre d’apports didactiques nécessaires à une pédagogie performante.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B">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3">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B">
            <w:pPr>
              <w:numPr>
                <w:ilvl w:val="0"/>
                <w:numId w:val="1"/>
              </w:numPr>
              <w:spacing w:after="0" w:line="240" w:lineRule="auto"/>
              <w:ind w:left="720" w:hanging="360"/>
              <w:rPr>
                <w:color w:val="000000"/>
              </w:rPr>
            </w:pPr>
            <w:r w:rsidDel="00000000" w:rsidR="00000000" w:rsidRPr="00000000">
              <w:rPr>
                <w:color w:val="000000"/>
                <w:rtl w:val="0"/>
              </w:rPr>
              <w:t xml:space="preserve">Réfléchir à tous les aspects d’une préparation en lien avec un projet disciplinaire ou interdisciplinaire.</w:t>
            </w:r>
          </w:p>
          <w:p w:rsidR="00000000" w:rsidDel="00000000" w:rsidP="00000000" w:rsidRDefault="00000000" w:rsidRPr="00000000" w14:paraId="0000009C">
            <w:pPr>
              <w:numPr>
                <w:ilvl w:val="0"/>
                <w:numId w:val="1"/>
              </w:numPr>
              <w:spacing w:after="0" w:line="240" w:lineRule="auto"/>
              <w:ind w:left="720" w:hanging="360"/>
              <w:rPr>
                <w:color w:val="000000"/>
              </w:rPr>
            </w:pPr>
            <w:r w:rsidDel="00000000" w:rsidR="00000000" w:rsidRPr="00000000">
              <w:rPr>
                <w:color w:val="000000"/>
                <w:rtl w:val="0"/>
              </w:rPr>
              <w:t xml:space="preserve">Mettre en place cette séquence et retour réflexif sur celui-ci.</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4">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Croiser différentes matières pour une pratique de classe plus fine.</w:t>
            </w:r>
          </w:p>
          <w:p w:rsidR="00000000" w:rsidDel="00000000" w:rsidP="00000000" w:rsidRDefault="00000000" w:rsidRPr="00000000" w14:paraId="000000C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Croiser didactique et pédagogie</w:t>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FD">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05">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p w:rsidR="00000000" w:rsidDel="00000000" w:rsidP="00000000" w:rsidRDefault="00000000" w:rsidRPr="00000000" w14:paraId="00000106">
            <w:pPr>
              <w:spacing w:after="0" w:line="240" w:lineRule="auto"/>
              <w:rPr>
                <w:color w:val="000000"/>
              </w:rPr>
            </w:pPr>
            <w:r w:rsidDel="00000000" w:rsidR="00000000" w:rsidRPr="00000000">
              <w:rPr>
                <w:color w:val="000000"/>
                <w:rtl w:val="0"/>
              </w:rPr>
              <w:t xml:space="preserve">-écrit sur des notions de didactiques et/ou présentation d’un projet pédagogique</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0A">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p w:rsidR="00000000" w:rsidDel="00000000" w:rsidP="00000000" w:rsidRDefault="00000000" w:rsidRPr="00000000" w14:paraId="0000010B">
            <w:pPr>
              <w:spacing w:after="0" w:line="240" w:lineRule="auto"/>
              <w:rPr>
                <w:color w:val="000000"/>
              </w:rPr>
            </w:pPr>
            <w:r w:rsidDel="00000000" w:rsidR="00000000" w:rsidRPr="00000000">
              <w:rPr>
                <w:color w:val="000000"/>
                <w:rtl w:val="0"/>
              </w:rPr>
              <w:t xml:space="preserve">-écrit</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0F">
            <w:pPr>
              <w:spacing w:after="0" w:line="240" w:lineRule="auto"/>
              <w:rPr/>
            </w:pPr>
            <w:r w:rsidDel="00000000" w:rsidR="00000000" w:rsidRPr="00000000">
              <w:rPr>
                <w:color w:val="000000"/>
                <w:rtl w:val="0"/>
              </w:rPr>
              <w:t xml:space="preserve"> </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3">
            <w:pPr>
              <w:spacing w:after="0" w:line="240" w:lineRule="auto"/>
              <w:rPr>
                <w:color w:val="000000"/>
              </w:rPr>
            </w:pPr>
            <w:r w:rsidDel="00000000" w:rsidR="00000000" w:rsidRPr="00000000">
              <w:rPr>
                <w:color w:val="000000"/>
                <w:rtl w:val="0"/>
              </w:rPr>
              <w:t xml:space="preserve"> </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2F">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1">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37">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VALENTIN D. (2007)  </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Découvrir le monde avec les mathématiques – Situations pour la grande section.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Paris, Hatier</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VALENTIN D. (2007)  </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Découvrir le monde avec les mathématiques – Situations pour la petite et la moyenne  section.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Paris, Hatier</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BRISSIAUD R. (2004) </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L’album à calculer.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Paris, Retz</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BRISSIAUD R (2005) </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Je compte … tu compares.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Paris, Retz</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BRISSIAUD R. (2005)</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 L’album 1, 2, 3</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Paris, Retz</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G. DUPREY, S. DUPREY et C. SAUTENAY, (2009), “Vers les maths – maternelle petite section”, Paris, ACCES Editions (idem en moyenne section et grande section)</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G. DUPREY, S. DUPREY et C. SAUTENAY, (2009), “Vers les maths – maternelle moyenne section”</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G. DUPREY, S. DUPREY et C. SAUTENAY, (2009), “Vers les maths – maternelle grande section”</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tabs>
                <w:tab w:val="left" w:pos="720"/>
              </w:tabs>
              <w:spacing w:after="0" w:line="240"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 les ouvrages de la collection </w:t>
            </w:r>
            <w:r w:rsidDel="00000000" w:rsidR="00000000" w:rsidRPr="00000000">
              <w:rPr>
                <w:rFonts w:ascii="Rockwell" w:cs="Rockwell" w:eastAsia="Rockwell" w:hAnsi="Rockwell"/>
                <w:i w:val="1"/>
                <w:sz w:val="20"/>
                <w:szCs w:val="20"/>
                <w:rtl w:val="0"/>
              </w:rPr>
              <w:t xml:space="preserve">« J'apprends les maths »</w:t>
            </w:r>
            <w:r w:rsidDel="00000000" w:rsidR="00000000" w:rsidRPr="00000000">
              <w:rPr>
                <w:rFonts w:ascii="Rockwell" w:cs="Rockwell" w:eastAsia="Rockwell" w:hAnsi="Rockwell"/>
                <w:sz w:val="20"/>
                <w:szCs w:val="20"/>
                <w:rtl w:val="0"/>
              </w:rPr>
              <w:t xml:space="preserve">, Ed. RETZ (du CP au CM2) </w:t>
            </w:r>
          </w:p>
          <w:p w:rsidR="00000000" w:rsidDel="00000000" w:rsidP="00000000" w:rsidRDefault="00000000" w:rsidRPr="00000000" w14:paraId="0000014B">
            <w:pPr>
              <w:tabs>
                <w:tab w:val="left" w:pos="720"/>
              </w:tabs>
              <w:spacing w:after="0" w:line="240"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 les ouvrages de la collection </w:t>
            </w:r>
            <w:r w:rsidDel="00000000" w:rsidR="00000000" w:rsidRPr="00000000">
              <w:rPr>
                <w:rFonts w:ascii="Rockwell" w:cs="Rockwell" w:eastAsia="Rockwell" w:hAnsi="Rockwell"/>
                <w:i w:val="1"/>
                <w:sz w:val="20"/>
                <w:szCs w:val="20"/>
                <w:rtl w:val="0"/>
              </w:rPr>
              <w:t xml:space="preserve">« Cap maths »</w:t>
            </w:r>
            <w:r w:rsidDel="00000000" w:rsidR="00000000" w:rsidRPr="00000000">
              <w:rPr>
                <w:rFonts w:ascii="Rockwell" w:cs="Rockwell" w:eastAsia="Rockwell" w:hAnsi="Rockwell"/>
                <w:sz w:val="20"/>
                <w:szCs w:val="20"/>
                <w:rtl w:val="0"/>
              </w:rPr>
              <w:t xml:space="preserve">, Ed. HATIER (du CP au CM2)</w:t>
            </w:r>
          </w:p>
          <w:p w:rsidR="00000000" w:rsidDel="00000000" w:rsidP="00000000" w:rsidRDefault="00000000" w:rsidRPr="00000000" w14:paraId="0000014C">
            <w:pPr>
              <w:tabs>
                <w:tab w:val="left" w:pos="720"/>
              </w:tabs>
              <w:spacing w:after="0" w:line="240"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 les ouvrages de la collection « Euro-Maths » Ed. Hatier (du CP au CM2)</w:t>
            </w:r>
          </w:p>
          <w:p w:rsidR="00000000" w:rsidDel="00000000" w:rsidP="00000000" w:rsidRDefault="00000000" w:rsidRPr="00000000" w14:paraId="0000014D">
            <w:pPr>
              <w:tabs>
                <w:tab w:val="left" w:pos="720"/>
              </w:tabs>
              <w:spacing w:after="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ERMEL (2003) </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Apprentissages numériques et résolution de problèmes, GS</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Paris, Hatier (et du CP au CM2)</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ERMEL (2003) </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Apprentissages géométriques et résolution de problèmes, Cycle 3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Paris, Hatier</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spacing w:after="0" w:line="240" w:lineRule="auto"/>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79">
      <w:pPr>
        <w:rPr/>
      </w:pPr>
      <w:r w:rsidDel="00000000" w:rsidR="00000000" w:rsidRPr="00000000">
        <w:rPr>
          <w:rtl w:val="0"/>
        </w:rPr>
      </w:r>
    </w:p>
    <w:sectPr>
      <w:headerReference r:id="rId6"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