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bookmarkStart w:colFirst="0" w:colLast="0" w:name="_gjdgxs" w:id="0"/>
            <w:bookmarkEnd w:id="0"/>
            <w:r w:rsidDel="00000000" w:rsidR="00000000" w:rsidRPr="00000000">
              <w:rPr>
                <w:rFonts w:ascii="Arial Black" w:cs="Arial Black" w:eastAsia="Arial Black" w:hAnsi="Arial Black"/>
                <w:color w:val="000000"/>
                <w:rtl w:val="0"/>
              </w:rPr>
              <w:t xml:space="preserve">IDENTIFICATION DU COURS : </w:t>
            </w:r>
            <w:r w:rsidDel="00000000" w:rsidR="00000000" w:rsidRPr="00000000">
              <w:rPr>
                <w:rFonts w:ascii="Arial Black" w:cs="Arial Black" w:eastAsia="Arial Black" w:hAnsi="Arial Black"/>
                <w:b w:val="1"/>
                <w:color w:val="000000"/>
                <w:rtl w:val="0"/>
              </w:rPr>
              <w:t xml:space="preserve">UE 3-3 : Histoire, Géographie, EMC / M2 Etudiants/ Groupe 2</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Développement professionnel en histoire, géographie EMC</w:t>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center"/>
              <w:rPr>
                <w:color w:val="000000"/>
              </w:rPr>
            </w:pPr>
            <w:r w:rsidDel="00000000" w:rsidR="00000000" w:rsidRPr="00000000">
              <w:rPr>
                <w:color w:val="000000"/>
                <w:rtl w:val="0"/>
              </w:rPr>
              <w:t xml:space="preserve">0h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1,5</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Sandrine MARVILLIERS</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 </w:t>
            </w:r>
            <w:r w:rsidDel="00000000" w:rsidR="00000000" w:rsidRPr="00000000">
              <w:rPr>
                <w:rtl w:val="0"/>
              </w:rPr>
              <w:t xml:space="preserve">: sandrine.marvilliers@univ-reunion.fr</w:t>
            </w:r>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color w:val="000000"/>
                <w:rtl w:val="0"/>
              </w:rPr>
              <w:t xml:space="preserve">Elodie SENECAL-FASQUEL</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 elodie-nadine.senecal@ac-reunion.fr</w:t>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color w:val="000000"/>
                <w:rtl w:val="0"/>
              </w:rPr>
              <w:t xml:space="preserve"> </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widowControl w:val="0"/>
              <w:spacing w:after="0" w:line="240" w:lineRule="auto"/>
              <w:jc w:val="both"/>
              <w:rPr>
                <w:i w:val="1"/>
                <w:color w:val="000000"/>
              </w:rPr>
            </w:pPr>
            <w:r w:rsidDel="00000000" w:rsidR="00000000" w:rsidRPr="00000000">
              <w:rPr>
                <w:b w:val="1"/>
                <w:color w:val="000000"/>
                <w:u w:val="single"/>
                <w:rtl w:val="0"/>
              </w:rPr>
              <w:t xml:space="preserve">Séance 1</w:t>
            </w:r>
            <w:r w:rsidDel="00000000" w:rsidR="00000000" w:rsidRPr="00000000">
              <w:rPr>
                <w:color w:val="000000"/>
                <w:rtl w:val="0"/>
              </w:rPr>
              <w:t xml:space="preserve"> : présentation de l’UE / finalités de l’histoire, de la géographie et de l’EMC/ point rapide sur la structuration du temps et de l’espace /les ressources/ le statut du document en histoire. </w:t>
            </w:r>
            <w:r w:rsidDel="00000000" w:rsidR="00000000" w:rsidRPr="00000000">
              <w:rPr>
                <w:i w:val="1"/>
                <w:color w:val="000000"/>
                <w:rtl w:val="0"/>
              </w:rPr>
              <w:t xml:space="preserve">Cours dialogué qui doit servir à faire un point sur les objectifs de l’UE et un rappel essentiel des finalités et des démarches en histoire, géographie et EMC tant sur les points scientifiques, didactiques et pédagogiques.</w:t>
            </w:r>
          </w:p>
          <w:p w:rsidR="00000000" w:rsidDel="00000000" w:rsidP="00000000" w:rsidRDefault="00000000" w:rsidRPr="00000000" w14:paraId="0000004B">
            <w:pPr>
              <w:widowControl w:val="0"/>
              <w:spacing w:after="0" w:line="240" w:lineRule="auto"/>
              <w:jc w:val="both"/>
              <w:rPr>
                <w:color w:val="000000"/>
              </w:rPr>
            </w:pPr>
            <w:r w:rsidDel="00000000" w:rsidR="00000000" w:rsidRPr="00000000">
              <w:rPr>
                <w:rtl w:val="0"/>
              </w:rPr>
            </w:r>
          </w:p>
          <w:p w:rsidR="00000000" w:rsidDel="00000000" w:rsidP="00000000" w:rsidRDefault="00000000" w:rsidRPr="00000000" w14:paraId="0000004C">
            <w:pPr>
              <w:spacing w:after="0" w:line="240" w:lineRule="auto"/>
              <w:jc w:val="both"/>
              <w:rPr>
                <w:i w:val="1"/>
              </w:rPr>
            </w:pPr>
            <w:r w:rsidDel="00000000" w:rsidR="00000000" w:rsidRPr="00000000">
              <w:rPr>
                <w:b w:val="1"/>
                <w:color w:val="000000"/>
                <w:u w:val="single"/>
                <w:rtl w:val="0"/>
              </w:rPr>
              <w:t xml:space="preserve">Séance 2</w:t>
            </w:r>
            <w:r w:rsidDel="00000000" w:rsidR="00000000" w:rsidRPr="00000000">
              <w:rPr>
                <w:color w:val="000000"/>
                <w:rtl w:val="0"/>
              </w:rPr>
              <w:t xml:space="preserve"> : </w:t>
            </w:r>
            <w:r w:rsidDel="00000000" w:rsidR="00000000" w:rsidRPr="00000000">
              <w:rPr>
                <w:color w:val="ff0000"/>
                <w:rtl w:val="0"/>
              </w:rPr>
              <w:t xml:space="preserve">Analyse de pratique : la conception d’une séquence/séance</w:t>
            </w:r>
            <w:r w:rsidDel="00000000" w:rsidR="00000000" w:rsidRPr="00000000">
              <w:rPr>
                <w:rtl w:val="0"/>
              </w:rPr>
              <w:t xml:space="preserve">. C</w:t>
            </w:r>
            <w:r w:rsidDel="00000000" w:rsidR="00000000" w:rsidRPr="00000000">
              <w:rPr>
                <w:color w:val="000000"/>
                <w:rtl w:val="0"/>
              </w:rPr>
              <w:t xml:space="preserve">onstruire une séquence et une séance en histoire/géographie/ EMC : </w:t>
            </w:r>
            <w:r w:rsidDel="00000000" w:rsidR="00000000" w:rsidRPr="00000000">
              <w:rPr>
                <w:rtl w:val="0"/>
              </w:rPr>
              <w:t xml:space="preserve">Déterminer les objectifs en termes de compétences et connaissances. Développement d’une séance en justifiant le choix des docs : ex : cycle 3 : CM1 « Et avant la France : Celtes, Gaulois, Grecs et Romains : quels héritages des mondes anciens ? » </w:t>
            </w:r>
            <w:r w:rsidDel="00000000" w:rsidR="00000000" w:rsidRPr="00000000">
              <w:rPr>
                <w:i w:val="1"/>
                <w:rtl w:val="0"/>
              </w:rPr>
              <w:t xml:space="preserve">Classe inversée : la partie scientifique sur les « Celtes, Gaulois, Grecs et Romains… » est envoyée par mail quelques jours avant le cours. Cette 2</w:t>
            </w:r>
            <w:r w:rsidDel="00000000" w:rsidR="00000000" w:rsidRPr="00000000">
              <w:rPr>
                <w:i w:val="1"/>
                <w:vertAlign w:val="superscript"/>
                <w:rtl w:val="0"/>
              </w:rPr>
              <w:t xml:space="preserve">ème</w:t>
            </w:r>
            <w:r w:rsidDel="00000000" w:rsidR="00000000" w:rsidRPr="00000000">
              <w:rPr>
                <w:i w:val="1"/>
                <w:rtl w:val="0"/>
              </w:rPr>
              <w:t xml:space="preserve"> séance s’organise ainsi :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30 minutes pour la méthode comment élaborer une séquence et une séance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 minutes d’activités en îlots. Chaque îlot est composé de la façon suivante : 4 étudiants dont 1 qui a fait l’option histoire/géo/EMC en M1. Deux îlots préparent la séance 1, Deux îlots préparent la séance 2 et îlots préparent la séance 3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45 minutes d’échanges-correction.</w:t>
            </w:r>
          </w:p>
          <w:p w:rsidR="00000000" w:rsidDel="00000000" w:rsidP="00000000" w:rsidRDefault="00000000" w:rsidRPr="00000000" w14:paraId="00000050">
            <w:pPr>
              <w:spacing w:after="0" w:line="240" w:lineRule="auto"/>
              <w:jc w:val="both"/>
              <w:rPr>
                <w:i w:val="1"/>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b w:val="1"/>
                <w:u w:val="single"/>
                <w:rtl w:val="0"/>
              </w:rPr>
              <w:t xml:space="preserve">Séance 3 :</w:t>
            </w:r>
            <w:r w:rsidDel="00000000" w:rsidR="00000000" w:rsidRPr="00000000">
              <w:rPr>
                <w:i w:val="1"/>
                <w:rtl w:val="0"/>
              </w:rPr>
              <w:t xml:space="preserve"> </w:t>
            </w:r>
            <w:r w:rsidDel="00000000" w:rsidR="00000000" w:rsidRPr="00000000">
              <w:rPr>
                <w:color w:val="ff0000"/>
                <w:rtl w:val="0"/>
              </w:rPr>
              <w:t xml:space="preserve">Analyse de pratique : la conception d’une séquence/séance : la construction du temps</w:t>
            </w:r>
            <w:r w:rsidDel="00000000" w:rsidR="00000000" w:rsidRPr="00000000">
              <w:rPr>
                <w:rtl w:val="0"/>
              </w:rPr>
              <w:t xml:space="preserve">. Avant la séance, les étudiants ont communiqué par mail à la formatrice leur affectation de stage. Pour cette troisième séance, les étudiants sont répartis en plusieurs groupes selon le cycle dans lequel ils vont exercer leur stage SOPA (stage d’observation et de pratique accompagnée) : 2 groupes cycle 1 / 3 groupes cycle 2/ 2 groupes cycle 3.</w:t>
            </w:r>
          </w:p>
          <w:p w:rsidR="00000000" w:rsidDel="00000000" w:rsidP="00000000" w:rsidRDefault="00000000" w:rsidRPr="00000000" w14:paraId="00000052">
            <w:pPr>
              <w:spacing w:after="0" w:line="240" w:lineRule="auto"/>
              <w:jc w:val="both"/>
              <w:rPr/>
            </w:pPr>
            <w:r w:rsidDel="00000000" w:rsidR="00000000" w:rsidRPr="00000000">
              <w:rPr>
                <w:rtl w:val="0"/>
              </w:rPr>
              <w:t xml:space="preserve">Consigne : à partir du BO, de la fiche Eduscol, des compétences travaillées en HGEMC et d’un corpus de docs/supports (albums de littérature de jeunesse, manuels, ouvrages spécialisés), réaliser une séquence (cycle 1 et cycle 2 : construction du temps / cycle 3 : Louis IX (pour les CM1) et La Première Guerre Mondiale pour les CM2) et développer les séances en déterminant les objectifs en termes de compétences et connaissances et justifier le choix des docs. Proposer une évaluation. </w:t>
            </w:r>
          </w:p>
          <w:p w:rsidR="00000000" w:rsidDel="00000000" w:rsidP="00000000" w:rsidRDefault="00000000" w:rsidRPr="00000000" w14:paraId="00000053">
            <w:pPr>
              <w:spacing w:after="0" w:line="240" w:lineRule="auto"/>
              <w:jc w:val="both"/>
              <w:rPr>
                <w:i w:val="1"/>
              </w:rPr>
            </w:pPr>
            <w:r w:rsidDel="00000000" w:rsidR="00000000" w:rsidRPr="00000000">
              <w:rPr>
                <w:i w:val="1"/>
                <w:rtl w:val="0"/>
              </w:rPr>
              <w:t xml:space="preserve">Classe inversée : les parties scientifiques (structuration du temps en cycle 1, structuration du temps en cycle 2, partie scientifique sur Louis IX-entrée par un personnage – l’enseignement du fait religieux et partie scientifique sur La Première Guerre Mondiale) sont envoyées par mail quelques jours avant le cours. </w:t>
            </w:r>
          </w:p>
          <w:p w:rsidR="00000000" w:rsidDel="00000000" w:rsidP="00000000" w:rsidRDefault="00000000" w:rsidRPr="00000000" w14:paraId="00000054">
            <w:pPr>
              <w:spacing w:after="0" w:line="240" w:lineRule="auto"/>
              <w:jc w:val="both"/>
              <w:rPr>
                <w:i w:val="1"/>
              </w:rPr>
            </w:pPr>
            <w:r w:rsidDel="00000000" w:rsidR="00000000" w:rsidRPr="00000000">
              <w:rPr>
                <w:i w:val="1"/>
                <w:rtl w:val="0"/>
              </w:rPr>
              <w:t xml:space="preserve">La formatrice de l’ESPE apporte une aide à la conception des séquences, des séances et de l’évaluation.</w:t>
            </w:r>
          </w:p>
          <w:p w:rsidR="00000000" w:rsidDel="00000000" w:rsidP="00000000" w:rsidRDefault="00000000" w:rsidRPr="00000000" w14:paraId="00000055">
            <w:pPr>
              <w:spacing w:after="0" w:line="240" w:lineRule="auto"/>
              <w:jc w:val="both"/>
              <w:rPr>
                <w:i w:val="1"/>
              </w:rPr>
            </w:pP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b w:val="1"/>
                <w:u w:val="single"/>
                <w:rtl w:val="0"/>
              </w:rPr>
              <w:t xml:space="preserve">Séance 4 :</w:t>
            </w:r>
            <w:r w:rsidDel="00000000" w:rsidR="00000000" w:rsidRPr="00000000">
              <w:rPr>
                <w:i w:val="1"/>
                <w:rtl w:val="0"/>
              </w:rPr>
              <w:t xml:space="preserve"> </w:t>
            </w:r>
            <w:r w:rsidDel="00000000" w:rsidR="00000000" w:rsidRPr="00000000">
              <w:rPr>
                <w:color w:val="ff0000"/>
                <w:rtl w:val="0"/>
              </w:rPr>
              <w:t xml:space="preserve">Analyse de pratique : la conception d’une séquence/séance : la construction du temps</w:t>
            </w:r>
            <w:r w:rsidDel="00000000" w:rsidR="00000000" w:rsidRPr="00000000">
              <w:rPr>
                <w:rtl w:val="0"/>
              </w:rPr>
              <w:t xml:space="preserve">. Présentation orale des grouétudiants : </w:t>
            </w:r>
          </w:p>
          <w:p w:rsidR="00000000" w:rsidDel="00000000" w:rsidP="00000000" w:rsidRDefault="00000000" w:rsidRPr="00000000" w14:paraId="00000057">
            <w:pPr>
              <w:spacing w:after="0" w:line="240" w:lineRule="auto"/>
              <w:jc w:val="both"/>
              <w:rPr/>
            </w:pPr>
            <w:r w:rsidDel="00000000" w:rsidR="00000000" w:rsidRPr="00000000">
              <w:rPr>
                <w:rtl w:val="0"/>
              </w:rPr>
              <w:t xml:space="preserve">Groupe 1 cycle 1 / MS : présente une séquence en détaillant les séances et en proposant une évaluation pour les MS.</w:t>
            </w:r>
          </w:p>
          <w:p w:rsidR="00000000" w:rsidDel="00000000" w:rsidP="00000000" w:rsidRDefault="00000000" w:rsidRPr="00000000" w14:paraId="00000058">
            <w:pPr>
              <w:spacing w:after="0" w:line="240" w:lineRule="auto"/>
              <w:jc w:val="both"/>
              <w:rPr/>
            </w:pPr>
            <w:r w:rsidDel="00000000" w:rsidR="00000000" w:rsidRPr="00000000">
              <w:rPr>
                <w:rtl w:val="0"/>
              </w:rPr>
              <w:t xml:space="preserve">Groupe 2 cycle 1 / GS : présente une séquence en détaillant les séances et en proposant une évaluation pour les GS.</w:t>
            </w:r>
          </w:p>
          <w:p w:rsidR="00000000" w:rsidDel="00000000" w:rsidP="00000000" w:rsidRDefault="00000000" w:rsidRPr="00000000" w14:paraId="00000059">
            <w:pPr>
              <w:spacing w:after="0" w:line="240" w:lineRule="auto"/>
              <w:jc w:val="both"/>
              <w:rPr/>
            </w:pPr>
            <w:r w:rsidDel="00000000" w:rsidR="00000000" w:rsidRPr="00000000">
              <w:rPr>
                <w:rtl w:val="0"/>
              </w:rPr>
              <w:t xml:space="preserve">Groupe 3 cycle 2 / CP : présente une séquence en détaillant les séances et en proposant une évaluation pour les CE1.</w:t>
            </w:r>
          </w:p>
          <w:p w:rsidR="00000000" w:rsidDel="00000000" w:rsidP="00000000" w:rsidRDefault="00000000" w:rsidRPr="00000000" w14:paraId="0000005A">
            <w:pPr>
              <w:spacing w:after="0" w:line="240" w:lineRule="auto"/>
              <w:jc w:val="both"/>
              <w:rPr/>
            </w:pPr>
            <w:r w:rsidDel="00000000" w:rsidR="00000000" w:rsidRPr="00000000">
              <w:rPr>
                <w:rtl w:val="0"/>
              </w:rPr>
              <w:t xml:space="preserve">Groupe 4 cycle 2 / CE1 : présente une séquence en détaillant les séances et en proposant une évaluation pour les CE1.</w:t>
            </w:r>
          </w:p>
          <w:p w:rsidR="00000000" w:rsidDel="00000000" w:rsidP="00000000" w:rsidRDefault="00000000" w:rsidRPr="00000000" w14:paraId="0000005B">
            <w:pPr>
              <w:spacing w:after="0" w:line="240" w:lineRule="auto"/>
              <w:jc w:val="both"/>
              <w:rPr/>
            </w:pPr>
            <w:r w:rsidDel="00000000" w:rsidR="00000000" w:rsidRPr="00000000">
              <w:rPr>
                <w:rtl w:val="0"/>
              </w:rPr>
              <w:t xml:space="preserve">Groupe 5 cycle 2 / CE2 : présente une séquence en détaillant les séances et en proposant une évaluation pour les CE2.</w:t>
            </w:r>
          </w:p>
          <w:p w:rsidR="00000000" w:rsidDel="00000000" w:rsidP="00000000" w:rsidRDefault="00000000" w:rsidRPr="00000000" w14:paraId="0000005C">
            <w:pPr>
              <w:spacing w:after="0" w:line="240" w:lineRule="auto"/>
              <w:jc w:val="both"/>
              <w:rPr/>
            </w:pPr>
            <w:r w:rsidDel="00000000" w:rsidR="00000000" w:rsidRPr="00000000">
              <w:rPr>
                <w:rtl w:val="0"/>
              </w:rPr>
              <w:t xml:space="preserve">Groupe 6 cycle 3 / CM1 : présente une séquence en détaillant les séances et en proposant une évaluation pour les CM1.</w:t>
            </w:r>
          </w:p>
          <w:p w:rsidR="00000000" w:rsidDel="00000000" w:rsidP="00000000" w:rsidRDefault="00000000" w:rsidRPr="00000000" w14:paraId="0000005D">
            <w:pPr>
              <w:spacing w:after="0" w:line="240" w:lineRule="auto"/>
              <w:jc w:val="both"/>
              <w:rPr/>
            </w:pPr>
            <w:r w:rsidDel="00000000" w:rsidR="00000000" w:rsidRPr="00000000">
              <w:rPr>
                <w:rtl w:val="0"/>
              </w:rPr>
              <w:t xml:space="preserve">Groupe 7 cycle 3 / CM2 : présente une séquence en détaillant les séances et en proposant une évaluation pour les CM1.</w:t>
            </w:r>
          </w:p>
          <w:p w:rsidR="00000000" w:rsidDel="00000000" w:rsidP="00000000" w:rsidRDefault="00000000" w:rsidRPr="00000000" w14:paraId="0000005E">
            <w:pPr>
              <w:spacing w:after="0" w:line="240" w:lineRule="auto"/>
              <w:jc w:val="both"/>
              <w:rPr>
                <w:b w:val="1"/>
              </w:rPr>
            </w:pPr>
            <w:r w:rsidDel="00000000" w:rsidR="00000000" w:rsidRPr="00000000">
              <w:rPr>
                <w:b w:val="1"/>
                <w:rtl w:val="0"/>
              </w:rPr>
              <w:t xml:space="preserve">Evaluation par les pairs et la formatrice selon une grille de compétence.</w:t>
            </w:r>
          </w:p>
          <w:p w:rsidR="00000000" w:rsidDel="00000000" w:rsidP="00000000" w:rsidRDefault="00000000" w:rsidRPr="00000000" w14:paraId="0000005F">
            <w:pPr>
              <w:widowControl w:val="0"/>
              <w:spacing w:after="0" w:line="240" w:lineRule="auto"/>
              <w:jc w:val="both"/>
              <w:rPr/>
            </w:pPr>
            <w:r w:rsidDel="00000000" w:rsidR="00000000" w:rsidRPr="00000000">
              <w:rPr>
                <w:rtl w:val="0"/>
              </w:rPr>
              <w:t xml:space="preserve">Travail à faire pour les séances 5/6 : lors du stage SOPA filmer le début d’une séance : entrée dans la séance, la consigne, début de l’activité (environ 10 min) + prendre des photos des productions des élèves.</w:t>
            </w:r>
          </w:p>
          <w:p w:rsidR="00000000" w:rsidDel="00000000" w:rsidP="00000000" w:rsidRDefault="00000000" w:rsidRPr="00000000" w14:paraId="00000060">
            <w:pPr>
              <w:widowControl w:val="0"/>
              <w:spacing w:after="0" w:line="240" w:lineRule="auto"/>
              <w:jc w:val="both"/>
              <w:rPr/>
            </w:pPr>
            <w:r w:rsidDel="00000000" w:rsidR="00000000" w:rsidRPr="00000000">
              <w:rPr>
                <w:rtl w:val="0"/>
              </w:rPr>
            </w:r>
          </w:p>
          <w:p w:rsidR="00000000" w:rsidDel="00000000" w:rsidP="00000000" w:rsidRDefault="00000000" w:rsidRPr="00000000" w14:paraId="00000061">
            <w:pPr>
              <w:widowControl w:val="0"/>
              <w:spacing w:after="0" w:line="240" w:lineRule="auto"/>
              <w:jc w:val="both"/>
              <w:rPr/>
            </w:pPr>
            <w:r w:rsidDel="00000000" w:rsidR="00000000" w:rsidRPr="00000000">
              <w:rPr>
                <w:b w:val="1"/>
                <w:u w:val="single"/>
                <w:rtl w:val="0"/>
              </w:rPr>
              <w:t xml:space="preserve">Séances 5 et 6</w:t>
            </w:r>
            <w:r w:rsidDel="00000000" w:rsidR="00000000" w:rsidRPr="00000000">
              <w:rPr>
                <w:rtl w:val="0"/>
              </w:rPr>
              <w:t xml:space="preserve"> : </w:t>
            </w:r>
            <w:r w:rsidDel="00000000" w:rsidR="00000000" w:rsidRPr="00000000">
              <w:rPr>
                <w:color w:val="ff0000"/>
                <w:rtl w:val="0"/>
              </w:rPr>
              <w:t xml:space="preserve">Analyse de pratique : l’animation d’une séance en classe et les productions d’élèves</w:t>
            </w:r>
            <w:r w:rsidDel="00000000" w:rsidR="00000000" w:rsidRPr="00000000">
              <w:rPr>
                <w:rtl w:val="0"/>
              </w:rPr>
              <w:t xml:space="preserve">.</w:t>
            </w:r>
          </w:p>
          <w:p w:rsidR="00000000" w:rsidDel="00000000" w:rsidP="00000000" w:rsidRDefault="00000000" w:rsidRPr="00000000" w14:paraId="00000062">
            <w:pPr>
              <w:spacing w:after="0" w:line="240" w:lineRule="auto"/>
              <w:jc w:val="both"/>
              <w:rPr/>
            </w:pPr>
            <w:r w:rsidDel="00000000" w:rsidR="00000000" w:rsidRPr="00000000">
              <w:rPr>
                <w:rtl w:val="0"/>
              </w:rPr>
              <w:t xml:space="preserve">-Les étudiants présentent leur séquence rapidement et montrent une séance filmée avec productions d’élèves par îlots de 4 étudiants. </w:t>
            </w:r>
          </w:p>
          <w:p w:rsidR="00000000" w:rsidDel="00000000" w:rsidP="00000000" w:rsidRDefault="00000000" w:rsidRPr="00000000" w14:paraId="00000063">
            <w:pPr>
              <w:spacing w:after="0" w:line="240" w:lineRule="auto"/>
              <w:jc w:val="both"/>
              <w:rPr>
                <w:b w:val="1"/>
              </w:rPr>
            </w:pPr>
            <w:r w:rsidDel="00000000" w:rsidR="00000000" w:rsidRPr="00000000">
              <w:rPr>
                <w:rtl w:val="0"/>
              </w:rPr>
              <w:t xml:space="preserve">-Analyse et </w:t>
            </w:r>
            <w:r w:rsidDel="00000000" w:rsidR="00000000" w:rsidRPr="00000000">
              <w:rPr>
                <w:b w:val="1"/>
                <w:rtl w:val="0"/>
              </w:rPr>
              <w:t xml:space="preserve">évaluation faite par les pairs + formatrice selon une grille de lecture.</w:t>
            </w:r>
          </w:p>
          <w:p w:rsidR="00000000" w:rsidDel="00000000" w:rsidP="00000000" w:rsidRDefault="00000000" w:rsidRPr="00000000" w14:paraId="00000064">
            <w:pPr>
              <w:spacing w:after="0" w:line="240" w:lineRule="auto"/>
              <w:jc w:val="both"/>
              <w:rPr/>
            </w:pPr>
            <w:r w:rsidDel="00000000" w:rsidR="00000000" w:rsidRPr="00000000">
              <w:rPr>
                <w:rtl w:val="0"/>
              </w:rPr>
              <w:t xml:space="preserve">Echanges entre étudiants. Les points les plus importants sont repris en classe entière.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4">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5">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AB">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AC">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4">
            <w:pPr>
              <w:widowControl w:val="0"/>
              <w:spacing w:after="0" w:line="240" w:lineRule="auto"/>
              <w:jc w:val="both"/>
              <w:rPr/>
            </w:pPr>
            <w:r w:rsidDel="00000000" w:rsidR="00000000" w:rsidRPr="00000000">
              <w:rPr>
                <w:rtl w:val="0"/>
              </w:rPr>
              <w:t xml:space="preserve">-Construire une séquence et des séances en histoire-géographie-EMC, en respectant le BO, les objectifs en termes de connaissances et de compétences : en cycle 1, 2 et 3 (structuration du temps et de l’espace en cycle 1 et 2, histoire et géographie en cycle 3).</w:t>
            </w:r>
          </w:p>
          <w:p w:rsidR="00000000" w:rsidDel="00000000" w:rsidP="00000000" w:rsidRDefault="00000000" w:rsidRPr="00000000" w14:paraId="000000B5">
            <w:pPr>
              <w:widowControl w:val="0"/>
              <w:spacing w:after="0" w:line="240" w:lineRule="auto"/>
              <w:jc w:val="both"/>
              <w:rPr/>
            </w:pPr>
            <w:r w:rsidDel="00000000" w:rsidR="00000000" w:rsidRPr="00000000">
              <w:rPr>
                <w:rtl w:val="0"/>
              </w:rPr>
              <w:t xml:space="preserve">-Mettre en œuvre une séquence en classe, filmer le début d’une séance : entrée dans la séance, la consigne, début de l’activité (environ 10 min).</w:t>
            </w:r>
          </w:p>
          <w:p w:rsidR="00000000" w:rsidDel="00000000" w:rsidP="00000000" w:rsidRDefault="00000000" w:rsidRPr="00000000" w14:paraId="000000B6">
            <w:pPr>
              <w:widowControl w:val="0"/>
              <w:spacing w:after="0" w:line="240" w:lineRule="auto"/>
              <w:jc w:val="both"/>
              <w:rPr/>
            </w:pPr>
            <w:r w:rsidDel="00000000" w:rsidR="00000000" w:rsidRPr="00000000">
              <w:rPr>
                <w:rtl w:val="0"/>
              </w:rPr>
              <w:t xml:space="preserve">-Analyse de pratique par les extraits vidéos : autoscopie par îlot de quatre ÉTUDIANTS. Analyser sa posture, les objectifs prévus et ceux réalisés. </w:t>
            </w:r>
          </w:p>
          <w:p w:rsidR="00000000" w:rsidDel="00000000" w:rsidP="00000000" w:rsidRDefault="00000000" w:rsidRPr="00000000" w14:paraId="000000B7">
            <w:pPr>
              <w:widowControl w:val="0"/>
              <w:spacing w:after="0" w:line="240" w:lineRule="auto"/>
              <w:jc w:val="both"/>
              <w:rPr/>
            </w:pPr>
            <w:r w:rsidDel="00000000" w:rsidR="00000000" w:rsidRPr="00000000">
              <w:rPr>
                <w:rtl w:val="0"/>
              </w:rPr>
              <w:t xml:space="preserve">-Mieux comprendre les enjeux de la classe et se préparer au CRPE.</w:t>
            </w:r>
          </w:p>
          <w:p w:rsidR="00000000" w:rsidDel="00000000" w:rsidP="00000000" w:rsidRDefault="00000000" w:rsidRPr="00000000" w14:paraId="000000B8">
            <w:pPr>
              <w:spacing w:after="0" w:line="240" w:lineRule="auto"/>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E0">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8">
            <w:pPr>
              <w:spacing w:after="0" w:line="240" w:lineRule="auto"/>
              <w:jc w:val="both"/>
              <w:rPr>
                <w:color w:val="000000"/>
              </w:rPr>
            </w:pPr>
            <w:r w:rsidDel="00000000" w:rsidR="00000000" w:rsidRPr="00000000">
              <w:rPr>
                <w:color w:val="000000"/>
                <w:u w:val="single"/>
                <w:rtl w:val="0"/>
              </w:rPr>
              <w:t xml:space="preserve">Référentiel des compétences des métiers du professorat et de l’éducation (BO, 25 juillet 2013)</w:t>
            </w:r>
            <w:r w:rsidDel="00000000" w:rsidR="00000000" w:rsidRPr="00000000">
              <w:rPr>
                <w:rtl w:val="0"/>
              </w:rPr>
            </w:r>
          </w:p>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-Construire des situations d'apprentissage en prenant en compte la diversité des élèves</w:t>
            </w:r>
          </w:p>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-S'engager dans une démarche de développement professionnel en histoire, géographie et enseignement moral et civique</w:t>
            </w:r>
          </w:p>
          <w:p w:rsidR="00000000" w:rsidDel="00000000" w:rsidP="00000000" w:rsidRDefault="00000000" w:rsidRPr="00000000" w14:paraId="000000EB">
            <w:pPr>
              <w:widowControl w:val="0"/>
              <w:spacing w:after="0" w:line="240" w:lineRule="auto"/>
              <w:jc w:val="both"/>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1B">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23">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Contrôle continu : évaluation formative au cours des séances 4, 5 et 6.</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27">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Devoir à rendre sur la construction d’une séance, la présenter en classe et faire un compte-rendu des objectifs réalisés et ceux prévus.</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B">
            <w:pPr>
              <w:spacing w:after="0" w:line="240" w:lineRule="auto"/>
              <w:rPr/>
            </w:pPr>
            <w:r w:rsidDel="00000000" w:rsidR="00000000" w:rsidRPr="00000000">
              <w:rPr>
                <w:color w:val="000000"/>
                <w:rtl w:val="0"/>
              </w:rPr>
              <w:t xml:space="preserve"> </w:t>
            </w:r>
            <w:r w:rsidDel="00000000" w:rsidR="00000000" w:rsidRPr="00000000">
              <w:rPr>
                <w:rtl w:val="0"/>
              </w:rPr>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F">
            <w:pPr>
              <w:spacing w:after="0" w:line="240" w:lineRule="auto"/>
              <w:rPr>
                <w:color w:val="000000"/>
              </w:rPr>
            </w:pPr>
            <w:r w:rsidDel="00000000" w:rsidR="00000000" w:rsidRPr="00000000">
              <w:rPr>
                <w:color w:val="000000"/>
                <w:rtl w:val="0"/>
              </w:rPr>
              <w:t xml:space="preserve"> </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B">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5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53">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Enseigner l’histoire à l’école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2016.</w:t>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Buisson M., Greff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Construire la notion de temps à l’école maternelle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2005.</w:t>
            </w:r>
          </w:p>
          <w:p w:rsidR="00000000" w:rsidDel="00000000" w:rsidP="00000000" w:rsidRDefault="00000000" w:rsidRPr="00000000" w14:paraId="000001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Mettoudi Chantal,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 enseigner en maternelle, la découverte du monde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Paris, 2011.</w:t>
            </w:r>
          </w:p>
          <w:p w:rsidR="00000000" w:rsidDel="00000000" w:rsidP="00000000" w:rsidRDefault="00000000" w:rsidRPr="00000000" w14:paraId="000001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Guichard Françoise et Guichard Jack,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 temps cycle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Hachette, 2011.</w:t>
            </w:r>
          </w:p>
          <w:p w:rsidR="00000000" w:rsidDel="00000000" w:rsidP="00000000" w:rsidRDefault="00000000" w:rsidRPr="00000000" w14:paraId="000001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Bouteville Elsa et Falaize Benoît,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Espace temps CP-CE1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Retz, 2017</w:t>
            </w:r>
          </w:p>
          <w:p w:rsidR="00000000" w:rsidDel="00000000" w:rsidP="00000000" w:rsidRDefault="00000000" w:rsidRPr="00000000" w14:paraId="00000160">
            <w:pPr>
              <w:spacing w:after="0" w:line="240" w:lineRule="auto"/>
              <w:rPr>
                <w:color w:val="000000"/>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Bulletin Officiel du 11 au 26 novembre 2015 :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http://cache.media.education.gouv.fr/file/MEN_SPE_11/35/1/BO_SPE_11_26-11-2015_504351.pdf</w:t>
              </w:r>
            </w:hyperlink>
            <w:r w:rsidDel="00000000" w:rsidR="00000000" w:rsidRPr="00000000">
              <w:rPr>
                <w:rtl w:val="0"/>
              </w:rPr>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fiches Eduscol :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http://eduscol.education.fr/</w:t>
              </w:r>
            </w:hyperlink>
            <w:r w:rsidDel="00000000" w:rsidR="00000000" w:rsidRPr="00000000">
              <w:rPr>
                <w:rtl w:val="0"/>
              </w:rPr>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TDC : https://www.reseau-canope.fr/notice/textes-et-documents-pour-la-classe.html</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B">
      <w:pPr>
        <w:rPr/>
      </w:pPr>
      <w:r w:rsidDel="00000000" w:rsidR="00000000" w:rsidRPr="00000000">
        <w:rPr>
          <w:rtl w:val="0"/>
        </w:rPr>
      </w:r>
    </w:p>
    <w:sectPr>
      <w:headerReference r:id="rId8"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che.media.education.gouv.fr/file/MEN_SPE_11/35/1/BO_SPE_11_26-11-2015_504351.pdf" TargetMode="External"/><Relationship Id="rId7" Type="http://schemas.openxmlformats.org/officeDocument/2006/relationships/hyperlink" Target="http://eduscol.education.f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