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3.2c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Intitulé : SAVOIRS DISCIPLINAIRES ET DIDACTIQUES: EDUCATION MUSICALE (LIEN HDA)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Responsable de l'UE : Etienne FLOCHON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rebuchet MS" w:cs="Trebuchet MS" w:eastAsia="Trebuchet MS" w:hAnsi="Trebuchet MS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courriel 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u w:val="single"/>
                <w:rtl w:val="0"/>
              </w:rPr>
              <w:t xml:space="preserve">etienne.flochon@univ-reunion.fr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François RODOT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rebuchet MS" w:cs="Trebuchet MS" w:eastAsia="Trebuchet MS" w:hAnsi="Trebuchet MS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courriel 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u w:val="single"/>
                <w:rtl w:val="0"/>
              </w:rPr>
              <w:t xml:space="preserve">francois.rodot@ac-reunion.fr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Etienne FLOCHON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courriel 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u w:val="single"/>
                <w:rtl w:val="0"/>
              </w:rPr>
              <w:t xml:space="preserve"> etienne.flochon@univ-reunion.fr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Travail axé sur la préparation à l’oral du CRPE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= aide au montage du dossier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= travail sur l’oral : contenus, posture, oral blanc.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= préparation du stage filé puis retours réflexifs.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approfondissement des compétences spécifiques à la discipline  découvertes en M1S1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préparation d’une séquence pédagogique en vue du stage filé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acquisition de compétences spécifiques.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capacité à s’approprier les programmes spécifiques à l’éducation musicale et histoire des arts niveau 2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élaboration puis mise en oeuvre d’une séquence pédagogique en vue du stage filé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Ecrit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BACHELARD, COULON, LOISY. Musique au quotidien. Dijon  : CRDP de Bourgogne. 2010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SOULAS B., L’éducation musicale, L’Harmattan, 2008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BIGAND Emmanuel, Le cerveau mélomane, éditions Belin, Cerveau &amp; Psycho, 2013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ressources Eduscol : http://eduscol.education.fr/education-musicale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MusiquePrim : http://eduscol.education.fr/education-musicale/enseigner/ressources-pedagogiques/musique-prim.html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la Cité de la musique : http://www.citedelamusique.fr/francais/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logiciel à télécharger : Audacity : https://www.audacityteam.org/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ristophe.mathis@ac-reunion.fr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