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3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1275"/>
        <w:gridCol w:w="1276"/>
        <w:gridCol w:w="87"/>
        <w:gridCol w:w="5158"/>
        <w:tblGridChange w:id="0">
          <w:tblGrid>
            <w:gridCol w:w="2836"/>
            <w:gridCol w:w="1275"/>
            <w:gridCol w:w="1276"/>
            <w:gridCol w:w="87"/>
            <w:gridCol w:w="5158"/>
          </w:tblGrid>
        </w:tblGridChange>
      </w:tblGrid>
      <w:tr>
        <w:tc>
          <w:tcPr>
            <w:gridSpan w:val="4"/>
          </w:tcPr>
          <w:p w:rsidR="00000000" w:rsidDel="00000000" w:rsidP="00000000" w:rsidRDefault="00000000" w:rsidRPr="00000000" w14:paraId="00000002">
            <w:pPr>
              <w:jc w:val="both"/>
              <w:rPr>
                <w:b w:val="1"/>
                <w:sz w:val="22"/>
                <w:szCs w:val="22"/>
              </w:rPr>
            </w:pPr>
            <w:r w:rsidDel="00000000" w:rsidR="00000000" w:rsidRPr="00000000">
              <w:rPr>
                <w:b w:val="1"/>
                <w:color w:val="000000"/>
                <w:sz w:val="22"/>
                <w:szCs w:val="22"/>
                <w:rtl w:val="0"/>
              </w:rPr>
              <w:t xml:space="preserve">IDENTIFICATION UE : 2-3</w:t>
            </w:r>
            <w:r w:rsidDel="00000000" w:rsidR="00000000" w:rsidRPr="00000000">
              <w:rPr>
                <w:rtl w:val="0"/>
              </w:rPr>
            </w:r>
          </w:p>
        </w:tc>
        <w:tc>
          <w:tcPr/>
          <w:p w:rsidR="00000000" w:rsidDel="00000000" w:rsidP="00000000" w:rsidRDefault="00000000" w:rsidRPr="00000000" w14:paraId="00000006">
            <w:pPr>
              <w:jc w:val="both"/>
              <w:rPr>
                <w:b w:val="1"/>
                <w:sz w:val="22"/>
                <w:szCs w:val="22"/>
              </w:rPr>
            </w:pPr>
            <w:r w:rsidDel="00000000" w:rsidR="00000000" w:rsidRPr="00000000">
              <w:rPr>
                <w:b w:val="1"/>
                <w:sz w:val="22"/>
                <w:szCs w:val="22"/>
                <w:rtl w:val="0"/>
              </w:rPr>
              <w:t xml:space="preserve">Code : </w:t>
            </w:r>
          </w:p>
        </w:tc>
      </w:tr>
      <w:tr>
        <w:tc>
          <w:tcPr>
            <w:gridSpan w:val="5"/>
          </w:tcPr>
          <w:p w:rsidR="00000000" w:rsidDel="00000000" w:rsidP="00000000" w:rsidRDefault="00000000" w:rsidRPr="00000000" w14:paraId="00000007">
            <w:pPr>
              <w:jc w:val="both"/>
              <w:rPr>
                <w:b w:val="1"/>
                <w:sz w:val="22"/>
                <w:szCs w:val="22"/>
              </w:rPr>
            </w:pPr>
            <w:r w:rsidDel="00000000" w:rsidR="00000000" w:rsidRPr="00000000">
              <w:rPr>
                <w:b w:val="1"/>
                <w:color w:val="000000"/>
                <w:sz w:val="22"/>
                <w:szCs w:val="22"/>
                <w:rtl w:val="0"/>
              </w:rPr>
              <w:t xml:space="preserve">Intitulé : Maitriser les savoirs disciplinaires et leur didactique en EPS (dont test de l’ASSN)</w:t>
            </w:r>
            <w:r w:rsidDel="00000000" w:rsidR="00000000" w:rsidRPr="00000000">
              <w:rPr>
                <w:rtl w:val="0"/>
              </w:rPr>
            </w:r>
          </w:p>
        </w:tc>
      </w:tr>
      <w:tr>
        <w:tc>
          <w:tcPr/>
          <w:p w:rsidR="00000000" w:rsidDel="00000000" w:rsidP="00000000" w:rsidRDefault="00000000" w:rsidRPr="00000000" w14:paraId="0000000C">
            <w:pPr>
              <w:jc w:val="both"/>
              <w:rPr>
                <w:sz w:val="22"/>
                <w:szCs w:val="22"/>
              </w:rPr>
            </w:pPr>
            <w:r w:rsidDel="00000000" w:rsidR="00000000" w:rsidRPr="00000000">
              <w:rPr>
                <w:color w:val="000000"/>
                <w:sz w:val="22"/>
                <w:szCs w:val="22"/>
                <w:rtl w:val="0"/>
              </w:rPr>
              <w:t xml:space="preserve">Volume horaire :</w:t>
            </w:r>
            <w:r w:rsidDel="00000000" w:rsidR="00000000" w:rsidRPr="00000000">
              <w:rPr>
                <w:rtl w:val="0"/>
              </w:rPr>
            </w:r>
          </w:p>
        </w:tc>
        <w:tc>
          <w:tcPr/>
          <w:p w:rsidR="00000000" w:rsidDel="00000000" w:rsidP="00000000" w:rsidRDefault="00000000" w:rsidRPr="00000000" w14:paraId="0000000D">
            <w:pPr>
              <w:jc w:val="both"/>
              <w:rPr>
                <w:sz w:val="22"/>
                <w:szCs w:val="22"/>
              </w:rPr>
            </w:pPr>
            <w:r w:rsidDel="00000000" w:rsidR="00000000" w:rsidRPr="00000000">
              <w:rPr>
                <w:color w:val="000000"/>
                <w:sz w:val="22"/>
                <w:szCs w:val="22"/>
                <w:rtl w:val="0"/>
              </w:rPr>
              <w:t xml:space="preserve"> 3h CM</w:t>
            </w:r>
            <w:r w:rsidDel="00000000" w:rsidR="00000000" w:rsidRPr="00000000">
              <w:rPr>
                <w:rtl w:val="0"/>
              </w:rPr>
            </w:r>
          </w:p>
        </w:tc>
        <w:tc>
          <w:tcPr/>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26</w:t>
            </w:r>
          </w:p>
        </w:tc>
        <w:tc>
          <w:tcPr>
            <w:gridSpan w:val="2"/>
          </w:tcPr>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ECTS : 3 </w:t>
            </w:r>
          </w:p>
        </w:tc>
      </w:tr>
      <w:tr>
        <w:tc>
          <w:tcPr>
            <w:vMerge w:val="restart"/>
          </w:tcPr>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Intervenants ESPE</w:t>
            </w:r>
          </w:p>
        </w:tc>
        <w:tc>
          <w:tcPr>
            <w:gridSpan w:val="2"/>
          </w:tcPr>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Arville Pascal</w:t>
            </w:r>
          </w:p>
        </w:tc>
        <w:tc>
          <w:tcPr>
            <w:gridSpan w:val="2"/>
          </w:tcPr>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Courriel : </w:t>
            </w:r>
            <w:hyperlink r:id="rId6">
              <w:r w:rsidDel="00000000" w:rsidR="00000000" w:rsidRPr="00000000">
                <w:rPr>
                  <w:color w:val="0000ff"/>
                  <w:sz w:val="22"/>
                  <w:szCs w:val="22"/>
                  <w:u w:val="single"/>
                  <w:rtl w:val="0"/>
                </w:rPr>
                <w:t xml:space="preserve">pascal.arville@univ-reunion.fr</w:t>
              </w:r>
            </w:hyperlink>
            <w:r w:rsidDel="00000000" w:rsidR="00000000" w:rsidRPr="00000000">
              <w:rPr>
                <w:sz w:val="22"/>
                <w:szCs w:val="22"/>
                <w:rtl w:val="0"/>
              </w:rPr>
              <w:t xml:space="preserve"> </w:t>
            </w:r>
          </w:p>
        </w:tc>
      </w:tr>
      <w:tr>
        <w:tc>
          <w:tcPr>
            <w:vMerge w:val="continue"/>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Rémi Lescat</w:t>
            </w:r>
          </w:p>
        </w:tc>
        <w:tc>
          <w:tcPr>
            <w:gridSpan w:val="2"/>
          </w:tcPr>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Courriel : </w:t>
            </w:r>
            <w:hyperlink r:id="rId7">
              <w:r w:rsidDel="00000000" w:rsidR="00000000" w:rsidRPr="00000000">
                <w:rPr>
                  <w:color w:val="0000ff"/>
                  <w:sz w:val="22"/>
                  <w:szCs w:val="22"/>
                  <w:u w:val="single"/>
                  <w:rtl w:val="0"/>
                </w:rPr>
                <w:t xml:space="preserve">remy.lescat@univ-reunion.fr</w:t>
              </w:r>
            </w:hyperlink>
            <w:r w:rsidDel="00000000" w:rsidR="00000000" w:rsidRPr="00000000">
              <w:rPr>
                <w:rtl w:val="0"/>
              </w:rPr>
            </w:r>
          </w:p>
        </w:tc>
      </w:tr>
      <w:tr>
        <w:tc>
          <w:tcPr>
            <w:vMerge w:val="continue"/>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tcPr>
          <w:p w:rsidR="00000000" w:rsidDel="00000000" w:rsidP="00000000" w:rsidRDefault="00000000" w:rsidRPr="00000000" w14:paraId="0000001C">
            <w:pPr>
              <w:jc w:val="both"/>
              <w:rPr>
                <w:sz w:val="22"/>
                <w:szCs w:val="22"/>
              </w:rPr>
            </w:pPr>
            <w:r w:rsidDel="00000000" w:rsidR="00000000" w:rsidRPr="00000000">
              <w:rPr>
                <w:rtl w:val="0"/>
              </w:rPr>
            </w:r>
          </w:p>
        </w:tc>
        <w:tc>
          <w:tcPr>
            <w:gridSpan w:val="2"/>
          </w:tcPr>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Courriel :  </w:t>
            </w:r>
          </w:p>
        </w:tc>
      </w:tr>
    </w:tbl>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63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trHeight w:val="240" w:hRule="atLeast"/>
        </w:trPr>
        <w:tc>
          <w:tcPr/>
          <w:p w:rsidR="00000000" w:rsidDel="00000000" w:rsidP="00000000" w:rsidRDefault="00000000" w:rsidRPr="00000000" w14:paraId="00000021">
            <w:pPr>
              <w:jc w:val="both"/>
              <w:rPr>
                <w:i w:val="1"/>
                <w:color w:val="000000"/>
                <w:sz w:val="22"/>
                <w:szCs w:val="22"/>
              </w:rPr>
            </w:pPr>
            <w:r w:rsidDel="00000000" w:rsidR="00000000" w:rsidRPr="00000000">
              <w:rPr>
                <w:color w:val="000000"/>
                <w:sz w:val="22"/>
                <w:szCs w:val="22"/>
                <w:rtl w:val="0"/>
              </w:rPr>
              <w:t xml:space="preserve">Compétences visées :</w:t>
            </w:r>
            <w:r w:rsidDel="00000000" w:rsidR="00000000" w:rsidRPr="00000000">
              <w:rPr>
                <w:rtl w:val="0"/>
              </w:rPr>
            </w:r>
          </w:p>
        </w:tc>
      </w:tr>
      <w:tr>
        <w:tc>
          <w:tcPr/>
          <w:p w:rsidR="00000000" w:rsidDel="00000000" w:rsidP="00000000" w:rsidRDefault="00000000" w:rsidRPr="00000000" w14:paraId="0000002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Connaitre et/ou approfondir ses connaissances dans les activités physiques sportives et artistiques en relation avec les objectifs et champs d’apprentissage en EPS du cycle 1 au cycle 3, par exemple, activités athlétiques, activités aquatiques, jeux sportifs collectifs, danse, les parcours en maternelle… connaître les conditions de sécurité à respecter.</w:t>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Connaître les textes qui organisent l’EPS dans les 3 cycles.</w:t>
            </w:r>
          </w:p>
          <w:p w:rsidR="00000000" w:rsidDel="00000000" w:rsidP="00000000" w:rsidRDefault="00000000" w:rsidRPr="00000000" w14:paraId="000000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Connaître les domaines du socle commun pour établir des liens avec les autres disciplines et favoriser la maitrise du langage, l’autonomie, la responsabilité…</w:t>
            </w:r>
          </w:p>
          <w:p w:rsidR="00000000" w:rsidDel="00000000" w:rsidP="00000000" w:rsidRDefault="00000000" w:rsidRPr="00000000" w14:paraId="0000002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Savoir construire une situation d’apprentissage, la mettre en œuvre et évaluer ses effets sur les élèves. Savoir la situer dans un module d’apprentissage, prévoir ses évolutions…</w:t>
            </w:r>
          </w:p>
          <w:p w:rsidR="00000000" w:rsidDel="00000000" w:rsidP="00000000" w:rsidRDefault="00000000" w:rsidRPr="00000000" w14:paraId="000000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Concevoir une partie de module d’apprentissage.</w:t>
            </w:r>
          </w:p>
          <w:p w:rsidR="00000000" w:rsidDel="00000000" w:rsidP="00000000" w:rsidRDefault="00000000" w:rsidRPr="00000000" w14:paraId="000000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Observer, interpréter les conduites typiques des élèves dans les APSA abordées pour proposer des situations adaptées, cohérentes et se préparer aux stages.</w:t>
            </w:r>
          </w:p>
          <w:p w:rsidR="00000000" w:rsidDel="00000000" w:rsidP="00000000" w:rsidRDefault="00000000" w:rsidRPr="00000000" w14:paraId="000000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Savoir nager, « être à l’aise » en eau profonde.</w:t>
            </w:r>
          </w:p>
          <w:p w:rsidR="00000000" w:rsidDel="00000000" w:rsidP="00000000" w:rsidRDefault="00000000" w:rsidRPr="00000000" w14:paraId="0000002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Maitriser les techniques d’entretien pour se préparer à l’épreuve orale du CRPE.</w:t>
            </w:r>
          </w:p>
        </w:tc>
      </w:tr>
    </w:tbl>
    <w:p w:rsidR="00000000" w:rsidDel="00000000" w:rsidP="00000000" w:rsidRDefault="00000000" w:rsidRPr="00000000" w14:paraId="0000002A">
      <w:pPr>
        <w:jc w:val="both"/>
        <w:rPr>
          <w:sz w:val="22"/>
          <w:szCs w:val="22"/>
        </w:rPr>
      </w:pPr>
      <w:r w:rsidDel="00000000" w:rsidR="00000000" w:rsidRPr="00000000">
        <w:rPr>
          <w:rtl w:val="0"/>
        </w:rPr>
      </w:r>
    </w:p>
    <w:tbl>
      <w:tblPr>
        <w:tblStyle w:val="Table3"/>
        <w:tblW w:w="1063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rPr>
          <w:trHeight w:val="380" w:hRule="atLeast"/>
        </w:trPr>
        <w:tc>
          <w:tcPr/>
          <w:p w:rsidR="00000000" w:rsidDel="00000000" w:rsidP="00000000" w:rsidRDefault="00000000" w:rsidRPr="00000000" w14:paraId="0000002B">
            <w:pPr>
              <w:jc w:val="both"/>
              <w:rPr>
                <w:color w:val="000000"/>
                <w:sz w:val="22"/>
                <w:szCs w:val="22"/>
              </w:rPr>
            </w:pPr>
            <w:r w:rsidDel="00000000" w:rsidR="00000000" w:rsidRPr="00000000">
              <w:rPr>
                <w:color w:val="000000"/>
                <w:sz w:val="22"/>
                <w:szCs w:val="22"/>
                <w:rtl w:val="0"/>
              </w:rPr>
              <w:t xml:space="preserve">Objectifs : Pour les étudiants…</w:t>
            </w:r>
          </w:p>
        </w:tc>
      </w:tr>
      <w:tr>
        <w:tc>
          <w:tcPr/>
          <w:p w:rsidR="00000000" w:rsidDel="00000000" w:rsidP="00000000" w:rsidRDefault="00000000" w:rsidRPr="00000000" w14:paraId="0000002C">
            <w:pPr>
              <w:ind w:left="142"/>
              <w:jc w:val="both"/>
              <w:rPr>
                <w:sz w:val="22"/>
                <w:szCs w:val="22"/>
              </w:rPr>
            </w:pPr>
            <w:r w:rsidDel="00000000" w:rsidR="00000000" w:rsidRPr="00000000">
              <w:rPr>
                <w:sz w:val="22"/>
                <w:szCs w:val="22"/>
                <w:rtl w:val="0"/>
              </w:rPr>
              <w:t xml:space="preserve">En EPS « Faire » pour mieux sentir et comprendre, implique l’engagement physique des étudiants dans toutes les APSA abordées. En outre la natation est une pratique incontournable de la formation dès le 1</w:t>
            </w:r>
            <w:r w:rsidDel="00000000" w:rsidR="00000000" w:rsidRPr="00000000">
              <w:rPr>
                <w:sz w:val="22"/>
                <w:szCs w:val="22"/>
                <w:vertAlign w:val="superscript"/>
                <w:rtl w:val="0"/>
              </w:rPr>
              <w:t xml:space="preserve">er</w:t>
            </w:r>
            <w:r w:rsidDel="00000000" w:rsidR="00000000" w:rsidRPr="00000000">
              <w:rPr>
                <w:sz w:val="22"/>
                <w:szCs w:val="22"/>
                <w:rtl w:val="0"/>
              </w:rPr>
              <w:t xml:space="preserve"> semestre car déterminante pour le concours (certificat de natation obligatoire).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d’organiser son corpus de connaissances, d’identifier les enjeux de formation des programmes, des APSA supports à partir des situations vécues lors des TD, des documents didactiques (livrets) et institutionnels.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de concevoir une situation et de la faire vivre dans le cadre du TD</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de comprendre les enjeux de la verbalisation, de s’exprimer clairement et précisément (langage enseignant/ langage élève)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d’identifier les conduites motrices typiques des élèves dans chacune des APSA pour utiliser au mieux les variables didactiques qui permettent de simplifier,  complexifier et faire évoluer une situation en relation avec le ou les objectifs poursuivis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d’établir des liens transversaux avec les autres disciplines, en particulier la maîtrise du langage, l’éducation à la santé et à la sécurité.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de réaliser et valider le  test de « l’attestation scolaire du savoir nager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Etre capable d’exposer à l’oral une partie de module et de répondre à un questionnement (sujet type CRPE).</w:t>
            </w:r>
          </w:p>
        </w:tc>
      </w:tr>
    </w:tbl>
    <w:p w:rsidR="00000000" w:rsidDel="00000000" w:rsidP="00000000" w:rsidRDefault="00000000" w:rsidRPr="00000000" w14:paraId="00000034">
      <w:pPr>
        <w:jc w:val="both"/>
        <w:rPr>
          <w:sz w:val="22"/>
          <w:szCs w:val="22"/>
        </w:rPr>
      </w:pPr>
      <w:r w:rsidDel="00000000" w:rsidR="00000000" w:rsidRPr="00000000">
        <w:rPr>
          <w:rtl w:val="0"/>
        </w:rPr>
      </w:r>
    </w:p>
    <w:tbl>
      <w:tblPr>
        <w:tblStyle w:val="Table4"/>
        <w:tblW w:w="1063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35">
            <w:pPr>
              <w:jc w:val="both"/>
              <w:rPr>
                <w:sz w:val="22"/>
                <w:szCs w:val="22"/>
              </w:rPr>
            </w:pPr>
            <w:r w:rsidDel="00000000" w:rsidR="00000000" w:rsidRPr="00000000">
              <w:rPr>
                <w:color w:val="000000"/>
                <w:sz w:val="22"/>
                <w:szCs w:val="22"/>
                <w:rtl w:val="0"/>
              </w:rPr>
              <w:t xml:space="preserve">Contenu pédagogique</w:t>
            </w:r>
            <w:r w:rsidDel="00000000" w:rsidR="00000000" w:rsidRPr="00000000">
              <w:rPr>
                <w:sz w:val="22"/>
                <w:szCs w:val="22"/>
                <w:rtl w:val="0"/>
              </w:rPr>
              <w:t xml:space="preserve">: "</w:t>
            </w:r>
            <w:r w:rsidDel="00000000" w:rsidR="00000000" w:rsidRPr="00000000">
              <w:rPr>
                <w:sz w:val="22"/>
                <w:szCs w:val="22"/>
                <w:u w:val="single"/>
                <w:rtl w:val="0"/>
              </w:rPr>
              <w:t xml:space="preserve">Notions abordées et modalités pédagogiques</w:t>
            </w:r>
            <w:r w:rsidDel="00000000" w:rsidR="00000000" w:rsidRPr="00000000">
              <w:rPr>
                <w:sz w:val="22"/>
                <w:szCs w:val="22"/>
                <w:rtl w:val="0"/>
              </w:rPr>
              <w:t xml:space="preserve">".</w:t>
            </w:r>
          </w:p>
        </w:tc>
      </w:tr>
      <w:tr>
        <w:tc>
          <w:tcPr/>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Vivre et faire vivre, en toute sécurité, jeux et situations d’apprentissage dans tous les cycles en relation avec les programmes en EPS, par exemple les activités athlétiques, les activités aquatiques, les jeux sportifs collectifs,  la danse,  les ateliers et les parcours en cycle 1 (S’approprier les espaces de pratique de l’EPS, le matériel, installer un dispositif, savoir gérer les groupements d’élèves, faire des équipes, …)</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Utiliser différents médias pour repérer et identifier les conduites motrices des élèves (fiches d’observation, vidéo…)</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Utiliser le langage pour faire verbaliser dans toutes les APSA, utiliser les outils de la communication verbale (voire écrite) pour construire tactiques, stratégies, chorégraphies…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Selon les activités, établir des liens entre l’EPS et les autres disciplines, par exemple : Activités athlétiques/Mathématiques (mesurer le temps, l’espace…)/Sciences (alimentation, le corps…), Jeux sportifs collectifs / Les compétences sociales et civiques (le rapport à la règle…), la danse / activités artistiques, musicales (construire des décors, des costumes, utiliser le rythme, comprendre une phrase musicale…), éducation à la santé et à la sécurité, enseigner l’éducation physique en anglais…</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S’entraîner en natation pour réussir les différentes tâches du test de « l’attestation scolaire du savoir nager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Pour l’épreuve orale du CRPE :</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Mémoriser concepts et notions, maîtriser les connaissances.</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Construire seul ou à plusieurs une stratégie personnelle d’action pour l’épreuve orale d’EPS du CRPE.</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S’entrainer à l’épreuve orale du CRPE en EPS et CSE.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jc w:val="both"/>
        <w:rPr>
          <w:sz w:val="22"/>
          <w:szCs w:val="22"/>
        </w:rPr>
      </w:pPr>
      <w:r w:rsidDel="00000000" w:rsidR="00000000" w:rsidRPr="00000000">
        <w:rPr>
          <w:rtl w:val="0"/>
        </w:rPr>
      </w:r>
    </w:p>
    <w:tbl>
      <w:tblPr>
        <w:tblStyle w:val="Table5"/>
        <w:tblW w:w="10631.999999999998"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4"/>
        <w:gridCol w:w="5428"/>
        <w:tblGridChange w:id="0">
          <w:tblGrid>
            <w:gridCol w:w="5204"/>
            <w:gridCol w:w="5428"/>
          </w:tblGrid>
        </w:tblGridChange>
      </w:tblGrid>
      <w:tr>
        <w:tc>
          <w:tcPr>
            <w:gridSpan w:val="2"/>
          </w:tcPr>
          <w:p w:rsidR="00000000" w:rsidDel="00000000" w:rsidP="00000000" w:rsidRDefault="00000000" w:rsidRPr="00000000" w14:paraId="00000041">
            <w:pPr>
              <w:jc w:val="both"/>
              <w:rPr>
                <w:sz w:val="22"/>
                <w:szCs w:val="22"/>
              </w:rPr>
            </w:pPr>
            <w:r w:rsidDel="00000000" w:rsidR="00000000" w:rsidRPr="00000000">
              <w:rPr>
                <w:color w:val="000000"/>
                <w:sz w:val="22"/>
                <w:szCs w:val="22"/>
                <w:rtl w:val="0"/>
              </w:rPr>
              <w:t xml:space="preserve">Modalités d'évaluation des connaissances et des compétences</w:t>
            </w:r>
            <w:r w:rsidDel="00000000" w:rsidR="00000000" w:rsidRPr="00000000">
              <w:rPr>
                <w:rtl w:val="0"/>
              </w:rPr>
            </w:r>
          </w:p>
        </w:tc>
      </w:tr>
      <w:tr>
        <w:tc>
          <w:tcPr/>
          <w:p w:rsidR="00000000" w:rsidDel="00000000" w:rsidP="00000000" w:rsidRDefault="00000000" w:rsidRPr="00000000" w14:paraId="00000043">
            <w:pPr>
              <w:jc w:val="both"/>
              <w:rPr>
                <w:color w:val="000000"/>
                <w:sz w:val="22"/>
                <w:szCs w:val="22"/>
              </w:rPr>
            </w:pPr>
            <w:r w:rsidDel="00000000" w:rsidR="00000000" w:rsidRPr="00000000">
              <w:rPr>
                <w:color w:val="000000"/>
                <w:sz w:val="22"/>
                <w:szCs w:val="22"/>
                <w:rtl w:val="0"/>
              </w:rPr>
              <w:t xml:space="preserve">1</w:t>
            </w:r>
            <w:r w:rsidDel="00000000" w:rsidR="00000000" w:rsidRPr="00000000">
              <w:rPr>
                <w:color w:val="000000"/>
                <w:sz w:val="22"/>
                <w:szCs w:val="22"/>
                <w:vertAlign w:val="superscript"/>
                <w:rtl w:val="0"/>
              </w:rPr>
              <w:t xml:space="preserve">ère</w:t>
            </w:r>
            <w:r w:rsidDel="00000000" w:rsidR="00000000" w:rsidRPr="00000000">
              <w:rPr>
                <w:color w:val="000000"/>
                <w:sz w:val="22"/>
                <w:szCs w:val="22"/>
                <w:rtl w:val="0"/>
              </w:rPr>
              <w:t xml:space="preserve"> session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Contrôle terminal : Devoir sur table en triplette sur un sujet type CRPE à partir d’un sujet type CRPE / 10pts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Contrôle continu : Comptes rendus de séances réalisées en TD / 5pts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Test de l’ASSN / 5pts</w:t>
            </w:r>
          </w:p>
        </w:tc>
        <w:tc>
          <w:tcPr/>
          <w:p w:rsidR="00000000" w:rsidDel="00000000" w:rsidP="00000000" w:rsidRDefault="00000000" w:rsidRPr="00000000" w14:paraId="00000047">
            <w:pPr>
              <w:jc w:val="both"/>
              <w:rPr>
                <w:color w:val="000000"/>
                <w:sz w:val="22"/>
                <w:szCs w:val="22"/>
              </w:rPr>
            </w:pPr>
            <w:r w:rsidDel="00000000" w:rsidR="00000000" w:rsidRPr="00000000">
              <w:rPr>
                <w:color w:val="000000"/>
                <w:sz w:val="22"/>
                <w:szCs w:val="22"/>
                <w:rtl w:val="0"/>
              </w:rPr>
              <w:t xml:space="preserve">2</w:t>
            </w:r>
            <w:r w:rsidDel="00000000" w:rsidR="00000000" w:rsidRPr="00000000">
              <w:rPr>
                <w:color w:val="000000"/>
                <w:sz w:val="22"/>
                <w:szCs w:val="22"/>
                <w:vertAlign w:val="superscript"/>
                <w:rtl w:val="0"/>
              </w:rPr>
              <w:t xml:space="preserve">ème</w:t>
            </w:r>
            <w:r w:rsidDel="00000000" w:rsidR="00000000" w:rsidRPr="00000000">
              <w:rPr>
                <w:color w:val="000000"/>
                <w:sz w:val="22"/>
                <w:szCs w:val="22"/>
                <w:rtl w:val="0"/>
              </w:rPr>
              <w:t xml:space="preserve"> session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Devoir sur table individuel sur un sujet type CRPE / 15pts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Test de l’ASSN / 5pts</w:t>
            </w:r>
          </w:p>
        </w:tc>
      </w:tr>
    </w:tbl>
    <w:p w:rsidR="00000000" w:rsidDel="00000000" w:rsidP="00000000" w:rsidRDefault="00000000" w:rsidRPr="00000000" w14:paraId="0000004A">
      <w:pPr>
        <w:jc w:val="both"/>
        <w:rPr>
          <w:sz w:val="22"/>
          <w:szCs w:val="22"/>
        </w:rPr>
      </w:pPr>
      <w:r w:rsidDel="00000000" w:rsidR="00000000" w:rsidRPr="00000000">
        <w:rPr>
          <w:rtl w:val="0"/>
        </w:rPr>
      </w:r>
    </w:p>
    <w:tbl>
      <w:tblPr>
        <w:tblStyle w:val="Table6"/>
        <w:tblW w:w="1063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4B">
            <w:pPr>
              <w:jc w:val="both"/>
              <w:rPr>
                <w:i w:val="1"/>
                <w:color w:val="000000"/>
                <w:sz w:val="22"/>
                <w:szCs w:val="22"/>
              </w:rPr>
            </w:pPr>
            <w:r w:rsidDel="00000000" w:rsidR="00000000" w:rsidRPr="00000000">
              <w:rPr>
                <w:color w:val="000000"/>
                <w:sz w:val="22"/>
                <w:szCs w:val="22"/>
                <w:rtl w:val="0"/>
              </w:rPr>
              <w:t xml:space="preserve">Ressources documentaires : </w:t>
            </w:r>
            <w:r w:rsidDel="00000000" w:rsidR="00000000" w:rsidRPr="00000000">
              <w:rPr>
                <w:i w:val="1"/>
                <w:color w:val="000000"/>
                <w:sz w:val="22"/>
                <w:szCs w:val="22"/>
                <w:rtl w:val="0"/>
              </w:rPr>
              <w:t xml:space="preserve">5 ouvrages et 3 sites internet maximum avec la possibilité de distinguer : </w:t>
            </w:r>
            <w:r w:rsidDel="00000000" w:rsidR="00000000" w:rsidRPr="00000000">
              <w:rPr>
                <w:i w:val="1"/>
                <w:sz w:val="22"/>
                <w:szCs w:val="22"/>
                <w:rtl w:val="0"/>
              </w:rPr>
              <w:t xml:space="preserve">Ouvrages  et sites de base, Ouvrages  et sites impératifs</w:t>
            </w:r>
            <w:r w:rsidDel="00000000" w:rsidR="00000000" w:rsidRPr="00000000">
              <w:rPr>
                <w:rtl w:val="0"/>
              </w:rPr>
            </w:r>
          </w:p>
        </w:tc>
      </w:tr>
      <w:tr>
        <w:tc>
          <w:tcPr/>
          <w:p w:rsidR="00000000" w:rsidDel="00000000" w:rsidP="00000000" w:rsidRDefault="00000000" w:rsidRPr="00000000" w14:paraId="0000004C">
            <w:pPr>
              <w:numPr>
                <w:ilvl w:val="0"/>
                <w:numId w:val="6"/>
              </w:numPr>
              <w:ind w:left="720" w:hanging="360"/>
              <w:rPr>
                <w:sz w:val="22"/>
                <w:szCs w:val="22"/>
              </w:rPr>
            </w:pPr>
            <w:r w:rsidDel="00000000" w:rsidR="00000000" w:rsidRPr="00000000">
              <w:rPr>
                <w:sz w:val="22"/>
                <w:szCs w:val="22"/>
                <w:rtl w:val="0"/>
              </w:rPr>
              <w:t xml:space="preserve">Livrets ESPE EPS (formateurs)</w:t>
            </w:r>
          </w:p>
          <w:p w:rsidR="00000000" w:rsidDel="00000000" w:rsidP="00000000" w:rsidRDefault="00000000" w:rsidRPr="00000000" w14:paraId="0000004D">
            <w:pPr>
              <w:numPr>
                <w:ilvl w:val="0"/>
                <w:numId w:val="6"/>
              </w:numPr>
              <w:ind w:left="720" w:hanging="360"/>
              <w:rPr>
                <w:sz w:val="22"/>
                <w:szCs w:val="22"/>
              </w:rPr>
            </w:pPr>
            <w:r w:rsidDel="00000000" w:rsidR="00000000" w:rsidRPr="00000000">
              <w:rPr>
                <w:sz w:val="22"/>
                <w:szCs w:val="22"/>
                <w:rtl w:val="0"/>
              </w:rPr>
              <w:t xml:space="preserve">Revue EPS</w:t>
            </w:r>
          </w:p>
          <w:p w:rsidR="00000000" w:rsidDel="00000000" w:rsidP="00000000" w:rsidRDefault="00000000" w:rsidRPr="00000000" w14:paraId="0000004E">
            <w:pPr>
              <w:numPr>
                <w:ilvl w:val="0"/>
                <w:numId w:val="6"/>
              </w:numPr>
              <w:ind w:left="720" w:hanging="360"/>
              <w:rPr>
                <w:sz w:val="22"/>
                <w:szCs w:val="22"/>
              </w:rPr>
            </w:pPr>
            <w:r w:rsidDel="00000000" w:rsidR="00000000" w:rsidRPr="00000000">
              <w:rPr>
                <w:sz w:val="22"/>
                <w:szCs w:val="22"/>
                <w:rtl w:val="0"/>
              </w:rPr>
              <w:t xml:space="preserve">L’épreuve d’EPS au CRPE. Editions EPS, 2017, réactualisé en 2018.</w:t>
            </w:r>
          </w:p>
          <w:p w:rsidR="00000000" w:rsidDel="00000000" w:rsidP="00000000" w:rsidRDefault="00000000" w:rsidRPr="00000000" w14:paraId="0000004F">
            <w:pPr>
              <w:numPr>
                <w:ilvl w:val="0"/>
                <w:numId w:val="6"/>
              </w:numPr>
              <w:ind w:left="720" w:hanging="360"/>
              <w:rPr>
                <w:sz w:val="22"/>
                <w:szCs w:val="22"/>
              </w:rPr>
            </w:pPr>
            <w:r w:rsidDel="00000000" w:rsidR="00000000" w:rsidRPr="00000000">
              <w:rPr>
                <w:sz w:val="22"/>
                <w:szCs w:val="22"/>
                <w:rtl w:val="0"/>
              </w:rPr>
              <w:t xml:space="preserve">BO spécial no2 du 26 Mars 2015 (Ecole maternelle)</w:t>
            </w:r>
          </w:p>
          <w:p w:rsidR="00000000" w:rsidDel="00000000" w:rsidP="00000000" w:rsidRDefault="00000000" w:rsidRPr="00000000" w14:paraId="00000050">
            <w:pPr>
              <w:numPr>
                <w:ilvl w:val="0"/>
                <w:numId w:val="6"/>
              </w:numPr>
              <w:ind w:left="720" w:hanging="360"/>
              <w:rPr>
                <w:sz w:val="22"/>
                <w:szCs w:val="22"/>
              </w:rPr>
            </w:pPr>
            <w:r w:rsidDel="00000000" w:rsidR="00000000" w:rsidRPr="00000000">
              <w:rPr>
                <w:sz w:val="22"/>
                <w:szCs w:val="22"/>
                <w:rtl w:val="0"/>
              </w:rPr>
              <w:t xml:space="preserve">Ressources maternelle 2015</w:t>
            </w:r>
          </w:p>
          <w:p w:rsidR="00000000" w:rsidDel="00000000" w:rsidP="00000000" w:rsidRDefault="00000000" w:rsidRPr="00000000" w14:paraId="00000051">
            <w:pPr>
              <w:numPr>
                <w:ilvl w:val="0"/>
                <w:numId w:val="6"/>
              </w:numPr>
              <w:ind w:left="720" w:hanging="360"/>
              <w:rPr>
                <w:sz w:val="22"/>
                <w:szCs w:val="22"/>
              </w:rPr>
            </w:pPr>
            <w:r w:rsidDel="00000000" w:rsidR="00000000" w:rsidRPr="00000000">
              <w:rPr>
                <w:sz w:val="22"/>
                <w:szCs w:val="22"/>
                <w:rtl w:val="0"/>
              </w:rPr>
              <w:t xml:space="preserve">BO spécial no11 du 26/11/2015 (Ecole élémentaire)</w:t>
            </w:r>
          </w:p>
          <w:p w:rsidR="00000000" w:rsidDel="00000000" w:rsidP="00000000" w:rsidRDefault="00000000" w:rsidRPr="00000000" w14:paraId="00000052">
            <w:pPr>
              <w:numPr>
                <w:ilvl w:val="0"/>
                <w:numId w:val="6"/>
              </w:numPr>
              <w:ind w:left="720" w:hanging="360"/>
              <w:rPr>
                <w:sz w:val="22"/>
                <w:szCs w:val="22"/>
              </w:rPr>
            </w:pPr>
            <w:r w:rsidDel="00000000" w:rsidR="00000000" w:rsidRPr="00000000">
              <w:rPr>
                <w:sz w:val="22"/>
                <w:szCs w:val="22"/>
                <w:rtl w:val="0"/>
              </w:rPr>
              <w:t xml:space="preserve">Ressources eduscol</w:t>
            </w:r>
          </w:p>
          <w:p w:rsidR="00000000" w:rsidDel="00000000" w:rsidP="00000000" w:rsidRDefault="00000000" w:rsidRPr="00000000" w14:paraId="00000053">
            <w:pPr>
              <w:numPr>
                <w:ilvl w:val="0"/>
                <w:numId w:val="6"/>
              </w:numPr>
              <w:ind w:left="720" w:hanging="360"/>
              <w:rPr>
                <w:sz w:val="22"/>
                <w:szCs w:val="22"/>
              </w:rPr>
            </w:pPr>
            <w:r w:rsidDel="00000000" w:rsidR="00000000" w:rsidRPr="00000000">
              <w:rPr>
                <w:sz w:val="22"/>
                <w:szCs w:val="22"/>
                <w:rtl w:val="0"/>
              </w:rPr>
              <w:t xml:space="preserve">NOR-1720002C / Circulaire no2017-127du 22-08-2017 MEN – DGESCO A1-2 relative à l’enseignement de la natation dans les premier et second degrés</w:t>
            </w:r>
          </w:p>
          <w:p w:rsidR="00000000" w:rsidDel="00000000" w:rsidP="00000000" w:rsidRDefault="00000000" w:rsidRPr="00000000" w14:paraId="00000054">
            <w:pPr>
              <w:numPr>
                <w:ilvl w:val="0"/>
                <w:numId w:val="6"/>
              </w:numPr>
              <w:ind w:left="720" w:hanging="360"/>
              <w:rPr>
                <w:sz w:val="22"/>
                <w:szCs w:val="22"/>
              </w:rPr>
            </w:pPr>
            <w:r w:rsidDel="00000000" w:rsidR="00000000" w:rsidRPr="00000000">
              <w:rPr>
                <w:sz w:val="22"/>
                <w:szCs w:val="22"/>
                <w:rtl w:val="0"/>
              </w:rPr>
              <w:t xml:space="preserve">Circulaire interministérielle no 2017-116 du 6-10-2017 relative à l’encadrement des APS</w:t>
            </w:r>
          </w:p>
          <w:p w:rsidR="00000000" w:rsidDel="00000000" w:rsidP="00000000" w:rsidRDefault="00000000" w:rsidRPr="00000000" w14:paraId="00000055">
            <w:pPr>
              <w:numPr>
                <w:ilvl w:val="0"/>
                <w:numId w:val="6"/>
              </w:numPr>
              <w:ind w:left="720" w:hanging="360"/>
              <w:rPr>
                <w:sz w:val="22"/>
                <w:szCs w:val="22"/>
              </w:rPr>
            </w:pPr>
            <w:r w:rsidDel="00000000" w:rsidR="00000000" w:rsidRPr="00000000">
              <w:rPr>
                <w:sz w:val="22"/>
                <w:szCs w:val="22"/>
                <w:rtl w:val="0"/>
              </w:rPr>
              <w:t xml:space="preserve">Décret no2017-766 du 4/5/2017 relatif à l’agrément des intervenants extérieurs.</w:t>
            </w:r>
          </w:p>
          <w:p w:rsidR="00000000" w:rsidDel="00000000" w:rsidP="00000000" w:rsidRDefault="00000000" w:rsidRPr="00000000" w14:paraId="00000056">
            <w:pPr>
              <w:numPr>
                <w:ilvl w:val="0"/>
                <w:numId w:val="6"/>
              </w:numPr>
              <w:ind w:left="720" w:hanging="360"/>
              <w:rPr>
                <w:sz w:val="22"/>
                <w:szCs w:val="22"/>
              </w:rPr>
            </w:pPr>
            <w:r w:rsidDel="00000000" w:rsidR="00000000" w:rsidRPr="00000000">
              <w:rPr>
                <w:sz w:val="22"/>
                <w:szCs w:val="22"/>
                <w:rtl w:val="0"/>
              </w:rPr>
              <w:t xml:space="preserve">Circulaire no 99-136 du 21 septembre 1999 relative à l’organisation des sorties scolaires dans les écoles maternelles et élémentaires publiques</w:t>
            </w:r>
          </w:p>
          <w:p w:rsidR="00000000" w:rsidDel="00000000" w:rsidP="00000000" w:rsidRDefault="00000000" w:rsidRPr="00000000" w14:paraId="00000057">
            <w:pPr>
              <w:ind w:left="720"/>
              <w:rPr>
                <w:sz w:val="22"/>
                <w:szCs w:val="22"/>
              </w:rPr>
            </w:pPr>
            <w:r w:rsidDel="00000000" w:rsidR="00000000" w:rsidRPr="00000000">
              <w:rPr>
                <w:rtl w:val="0"/>
              </w:rPr>
            </w:r>
          </w:p>
        </w:tc>
      </w:tr>
    </w:tbl>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rtl w:val="0"/>
        </w:rPr>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rtl w:val="0"/>
        </w:rPr>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bookmarkStart w:colFirst="0" w:colLast="0" w:name="_gjdgxs" w:id="0"/>
      <w:bookmarkEnd w:id="0"/>
      <w:r w:rsidDel="00000000" w:rsidR="00000000" w:rsidRPr="00000000">
        <w:rPr>
          <w:rtl w:val="0"/>
        </w:rPr>
      </w:r>
    </w:p>
    <w:sectPr>
      <w:footerReference r:id="rId8" w:type="default"/>
      <w:footerReference r:id="rId9"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Libre Franklin" w:cs="Libre Franklin" w:eastAsia="Libre Franklin" w:hAnsi="Libre Franklin"/>
      </w:rPr>
    </w:lvl>
    <w:lvl w:ilvl="1">
      <w:start w:val="1"/>
      <w:numFmt w:val="bullet"/>
      <w:lvlText w:val="→"/>
      <w:lvlJc w:val="left"/>
      <w:pPr>
        <w:ind w:left="1440" w:hanging="360"/>
      </w:pPr>
      <w:rPr>
        <w:rFonts w:ascii="Libre Franklin" w:cs="Libre Franklin" w:eastAsia="Libre Franklin" w:hAnsi="Libre Franklin"/>
      </w:rPr>
    </w:lvl>
    <w:lvl w:ilvl="2">
      <w:start w:val="1"/>
      <w:numFmt w:val="bullet"/>
      <w:lvlText w:val="→"/>
      <w:lvlJc w:val="left"/>
      <w:pPr>
        <w:ind w:left="2160" w:hanging="360"/>
      </w:pPr>
      <w:rPr>
        <w:rFonts w:ascii="Libre Franklin" w:cs="Libre Franklin" w:eastAsia="Libre Franklin" w:hAnsi="Libre Franklin"/>
      </w:rPr>
    </w:lvl>
    <w:lvl w:ilvl="3">
      <w:start w:val="1"/>
      <w:numFmt w:val="bullet"/>
      <w:lvlText w:val="→"/>
      <w:lvlJc w:val="left"/>
      <w:pPr>
        <w:ind w:left="2880" w:hanging="360"/>
      </w:pPr>
      <w:rPr>
        <w:rFonts w:ascii="Libre Franklin" w:cs="Libre Franklin" w:eastAsia="Libre Franklin" w:hAnsi="Libre Franklin"/>
      </w:rPr>
    </w:lvl>
    <w:lvl w:ilvl="4">
      <w:start w:val="1"/>
      <w:numFmt w:val="bullet"/>
      <w:lvlText w:val="→"/>
      <w:lvlJc w:val="left"/>
      <w:pPr>
        <w:ind w:left="3600" w:hanging="360"/>
      </w:pPr>
      <w:rPr>
        <w:rFonts w:ascii="Libre Franklin" w:cs="Libre Franklin" w:eastAsia="Libre Franklin" w:hAnsi="Libre Franklin"/>
      </w:rPr>
    </w:lvl>
    <w:lvl w:ilvl="5">
      <w:start w:val="1"/>
      <w:numFmt w:val="bullet"/>
      <w:lvlText w:val="→"/>
      <w:lvlJc w:val="left"/>
      <w:pPr>
        <w:ind w:left="4320" w:hanging="360"/>
      </w:pPr>
      <w:rPr>
        <w:rFonts w:ascii="Libre Franklin" w:cs="Libre Franklin" w:eastAsia="Libre Franklin" w:hAnsi="Libre Franklin"/>
      </w:rPr>
    </w:lvl>
    <w:lvl w:ilvl="6">
      <w:start w:val="1"/>
      <w:numFmt w:val="bullet"/>
      <w:lvlText w:val="→"/>
      <w:lvlJc w:val="left"/>
      <w:pPr>
        <w:ind w:left="5040" w:hanging="360"/>
      </w:pPr>
      <w:rPr>
        <w:rFonts w:ascii="Libre Franklin" w:cs="Libre Franklin" w:eastAsia="Libre Franklin" w:hAnsi="Libre Franklin"/>
      </w:rPr>
    </w:lvl>
    <w:lvl w:ilvl="7">
      <w:start w:val="1"/>
      <w:numFmt w:val="bullet"/>
      <w:lvlText w:val="→"/>
      <w:lvlJc w:val="left"/>
      <w:pPr>
        <w:ind w:left="5760" w:hanging="360"/>
      </w:pPr>
      <w:rPr>
        <w:rFonts w:ascii="Libre Franklin" w:cs="Libre Franklin" w:eastAsia="Libre Franklin" w:hAnsi="Libre Franklin"/>
      </w:rPr>
    </w:lvl>
    <w:lvl w:ilvl="8">
      <w:start w:val="1"/>
      <w:numFmt w:val="bullet"/>
      <w:lvlText w:val="→"/>
      <w:lvlJc w:val="left"/>
      <w:pPr>
        <w:ind w:left="6480" w:hanging="360"/>
      </w:pPr>
      <w:rPr>
        <w:rFonts w:ascii="Libre Franklin" w:cs="Libre Franklin" w:eastAsia="Libre Franklin" w:hAnsi="Libre Franklin"/>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45a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ascal.arville@univ-reunion.fr" TargetMode="External"/><Relationship Id="rId7" Type="http://schemas.openxmlformats.org/officeDocument/2006/relationships/hyperlink" Target="mailto:remy.lescat@univ-reunion.fr"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