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3.0" w:type="dxa"/>
        <w:jc w:val="left"/>
        <w:tblInd w:w="60.0" w:type="dxa"/>
        <w:tblLayout w:type="fixed"/>
        <w:tblLook w:val="0000"/>
      </w:tblPr>
      <w:tblGrid>
        <w:gridCol w:w="1768"/>
        <w:gridCol w:w="1155"/>
        <w:gridCol w:w="1353"/>
        <w:gridCol w:w="1358"/>
        <w:gridCol w:w="1353"/>
        <w:gridCol w:w="1357"/>
        <w:gridCol w:w="1353"/>
        <w:gridCol w:w="1356"/>
        <w:tblGridChange w:id="0">
          <w:tblGrid>
            <w:gridCol w:w="1768"/>
            <w:gridCol w:w="1155"/>
            <w:gridCol w:w="1353"/>
            <w:gridCol w:w="1358"/>
            <w:gridCol w:w="1353"/>
            <w:gridCol w:w="1357"/>
            <w:gridCol w:w="1353"/>
            <w:gridCol w:w="1356"/>
          </w:tblGrid>
        </w:tblGridChange>
      </w:tblGrid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0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IDENTIFICATION DU COURS : UE 2-2a</w:t>
            </w:r>
          </w:p>
        </w:tc>
      </w:tr>
      <w:tr>
        <w:trPr>
          <w:trHeight w:val="300" w:hRule="atLeast"/>
        </w:trPr>
        <w:tc>
          <w:tcPr>
            <w:gridSpan w:val="6"/>
            <w:tcBorders>
              <w:top w:color="000000" w:space="0" w:sz="0" w:val="nil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Intitulé :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Maîtriser les savoirs disciplinaires et leur didactique dans les activités numériques 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0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Code : X4PE2MA3</w:t>
            </w:r>
          </w:p>
        </w:tc>
      </w:tr>
      <w:tr>
        <w:trPr>
          <w:trHeight w:val="280" w:hRule="atLeast"/>
        </w:trPr>
        <w:tc>
          <w:tcPr>
            <w:gridSpan w:val="2"/>
            <w:tcBorders>
              <w:top w:color="000000" w:space="0" w:sz="0" w:val="nil"/>
              <w:left w:color="000000" w:space="0" w:sz="12" w:val="single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2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Volume horaire : 20h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4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4h CM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 16h TD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6">
            <w:pPr>
              <w:spacing w:after="0" w:line="240" w:lineRule="auto"/>
              <w:jc w:val="righ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1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COEFF : 3 ECTS</w:t>
            </w:r>
          </w:p>
        </w:tc>
      </w:tr>
      <w:tr>
        <w:trPr>
          <w:trHeight w:val="280" w:hRule="atLeast"/>
        </w:trPr>
        <w:tc>
          <w:tcPr>
            <w:gridSpan w:val="4"/>
            <w:tcBorders>
              <w:top w:color="000000" w:space="0" w:sz="4" w:val="single"/>
              <w:left w:color="000000" w:space="0" w:sz="12" w:val="single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Responsable de l'UE : </w:t>
            </w:r>
            <w:r w:rsidDel="00000000" w:rsidR="00000000" w:rsidRPr="00000000">
              <w:rPr>
                <w:b w:val="1"/>
                <w:rtl w:val="0"/>
              </w:rPr>
              <w:t xml:space="preserve">Lemaire Catherine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1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</w:t>
            </w:r>
            <w:r w:rsidDel="00000000" w:rsidR="00000000" w:rsidRPr="00000000">
              <w:rPr>
                <w:rtl w:val="0"/>
              </w:rPr>
              <w:t xml:space="preserve">catherine.lemaire@univ-reunion.fr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spacing w:after="0" w:line="240" w:lineRule="auto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Intervenants :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Bénard Emmanuel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emmanuel.benard@univ-reunion.fr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B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Lemaire Catherine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2E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catherine.lemaire@</w:t>
            </w:r>
            <w:r w:rsidDel="00000000" w:rsidR="00000000" w:rsidRPr="00000000">
              <w:rPr>
                <w:rtl w:val="0"/>
              </w:rPr>
              <w:t xml:space="preserve">univ-reunion.fr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12" w:val="single"/>
              <w:bottom w:color="000000" w:space="0" w:sz="12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33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Tiennot Luc</w:t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0" w:val="nil"/>
              <w:bottom w:color="000000" w:space="0" w:sz="12" w:val="single"/>
              <w:right w:color="000000" w:space="0" w:sz="12" w:val="single"/>
            </w:tcBorders>
            <w:vAlign w:val="bottom"/>
          </w:tcPr>
          <w:p w:rsidR="00000000" w:rsidDel="00000000" w:rsidP="00000000" w:rsidRDefault="00000000" w:rsidRPr="00000000" w14:paraId="00000036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courriel : luc.tiennot@univ-reunion.fr</w:t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A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42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CONTENU PEDAGOGIQUE :</w:t>
            </w:r>
          </w:p>
        </w:tc>
      </w:tr>
      <w:tr>
        <w:trPr>
          <w:trHeight w:val="44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4A">
            <w:pPr>
              <w:jc w:val="both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Notions abordées : 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onctions et proportionnalité (disciplinaire) ;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robabilités (disciplinaire) ;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tatistiques (disciplinaire) ;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aths et numérique (disciplinaire, en transversal en lien avec l’UE 2-2b) ;</w:t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roportionnalité (didactique, en transversal en lien avec l’UE 2-2b).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7">
            <w:pPr>
              <w:spacing w:after="0" w:line="240" w:lineRule="auto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8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9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A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B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C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D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8E">
            <w:pPr>
              <w:spacing w:after="0" w:line="240" w:lineRule="auto"/>
              <w:rPr>
                <w:rFonts w:ascii="Times New Roman" w:cs="Times New Roman" w:eastAsia="Times New Roman" w:hAnsi="Times New Roman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8F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Objectifs de l’UE pour les étudiants : </w:t>
            </w:r>
          </w:p>
        </w:tc>
      </w:tr>
      <w:tr>
        <w:trPr>
          <w:trHeight w:val="44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Maîtriser les savoirs mathématiques nécessaires pour enseigner les mathématiques  à l’école primaire.</w:t>
            </w:r>
          </w:p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Réfléchir à la transposition didactique de ces savoirs, à ses enjeux comme à ses moyens.</w:t>
            </w:r>
          </w:p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des supports pédagogiques (extraits de manuels, séances d’apprentissage…).</w:t>
            </w:r>
          </w:p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des productions d’élève.</w:t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Compétences visées :</w:t>
            </w:r>
          </w:p>
        </w:tc>
      </w:tr>
      <w:tr>
        <w:trPr>
          <w:trHeight w:val="46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2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  <w:rtl w:val="0"/>
              </w:rPr>
              <w:t xml:space="preserve">Maîtriser les savoirs disciplinaires dans le domaine des activités numériques en mathématiques.</w:t>
            </w:r>
          </w:p>
          <w:p w:rsidR="00000000" w:rsidDel="00000000" w:rsidP="00000000" w:rsidRDefault="00000000" w:rsidRPr="00000000" w14:paraId="000000C3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Situer les repères fondamentaux, les enjeux épistémologiques et les problèmes didactiques dans le domaine des mathématiques.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Analyser les réussites et les erreurs, concevoir et mettre en œuvre des activités de remédiation et de consolidation des acquis.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C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3"/>
                <w:szCs w:val="23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0EC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Modalités d'évaluation des connaissances et des compétences</w:t>
            </w:r>
          </w:p>
        </w:tc>
      </w:tr>
      <w:tr>
        <w:trPr>
          <w:trHeight w:val="300" w:hRule="atLeast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vAlign w:val="center"/>
          </w:tcPr>
          <w:p w:rsidR="00000000" w:rsidDel="00000000" w:rsidP="00000000" w:rsidRDefault="00000000" w:rsidRPr="00000000" w14:paraId="000000F4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ère</w:t>
            </w:r>
            <w:r w:rsidDel="00000000" w:rsidR="00000000" w:rsidRPr="00000000">
              <w:rPr>
                <w:color w:val="000000"/>
                <w:rtl w:val="0"/>
              </w:rPr>
              <w:t xml:space="preserve"> session : </w:t>
            </w:r>
          </w:p>
        </w:tc>
        <w:tc>
          <w:tcPr>
            <w:gridSpan w:val="4"/>
            <w:tcBorders>
              <w:top w:color="000000" w:space="0" w:sz="12" w:val="single"/>
              <w:left w:color="000000" w:space="0" w:sz="0" w:val="nil"/>
              <w:bottom w:color="000000" w:space="0" w:sz="0" w:val="nil"/>
              <w:right w:color="000000" w:space="0" w:sz="12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2</w:t>
            </w:r>
            <w:r w:rsidDel="00000000" w:rsidR="00000000" w:rsidRPr="00000000">
              <w:rPr>
                <w:color w:val="000000"/>
                <w:vertAlign w:val="superscript"/>
                <w:rtl w:val="0"/>
              </w:rPr>
              <w:t xml:space="preserve">ème</w:t>
            </w:r>
            <w:r w:rsidDel="00000000" w:rsidR="00000000" w:rsidRPr="00000000">
              <w:rPr>
                <w:color w:val="000000"/>
                <w:rtl w:val="0"/>
              </w:rPr>
              <w:t xml:space="preserve"> session : </w:t>
            </w:r>
          </w:p>
        </w:tc>
      </w:tr>
      <w:tr>
        <w:trPr>
          <w:trHeight w:val="280" w:hRule="atLeast"/>
        </w:trPr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720" w:right="0" w:hanging="360"/>
              <w:jc w:val="both"/>
              <w:rPr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devoir écrit de 4h (type concours) regroupé avec l’UE 2-2b.</w:t>
            </w:r>
          </w:p>
          <w:p w:rsidR="00000000" w:rsidDel="00000000" w:rsidP="00000000" w:rsidRDefault="00000000" w:rsidRPr="00000000" w14:paraId="000000FD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Régime dérogatoire :</w:t>
            </w:r>
            <w:r w:rsidDel="00000000" w:rsidR="00000000" w:rsidRPr="00000000">
              <w:rPr>
                <w:rtl w:val="0"/>
              </w:rPr>
              <w:t xml:space="preserve"> 1 devoir écrit de 4h.</w:t>
            </w:r>
          </w:p>
        </w:tc>
        <w:tc>
          <w:tcPr>
            <w:gridSpan w:val="4"/>
            <w:vMerge w:val="restart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1 devoir de 1h de type concours.</w:t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vMerge w:val="continue"/>
            <w:tcBorders>
              <w:top w:color="000000" w:space="0" w:sz="0" w:val="nil"/>
              <w:left w:color="000000" w:space="0" w:sz="8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D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E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1F">
            <w:pPr>
              <w:spacing w:after="0" w:line="240" w:lineRule="auto"/>
              <w:rPr>
                <w:rFonts w:ascii="Times New Roman" w:cs="Times New Roman" w:eastAsia="Times New Roman" w:hAnsi="Times New Roman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0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1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2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3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124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8"/>
            <w:tcBorders>
              <w:top w:color="000000" w:space="0" w:sz="12" w:val="single"/>
              <w:left w:color="000000" w:space="0" w:sz="12" w:val="single"/>
              <w:bottom w:color="000000" w:space="0" w:sz="0" w:val="nil"/>
              <w:right w:color="000000" w:space="0" w:sz="12" w:val="single"/>
            </w:tcBorders>
            <w:shd w:fill="e7e6e6" w:val="clear"/>
            <w:vAlign w:val="bottom"/>
          </w:tcPr>
          <w:p w:rsidR="00000000" w:rsidDel="00000000" w:rsidP="00000000" w:rsidRDefault="00000000" w:rsidRPr="00000000" w14:paraId="00000125">
            <w:pPr>
              <w:spacing w:after="0" w:line="240" w:lineRule="auto"/>
              <w:rPr>
                <w:rFonts w:ascii="Arial Black" w:cs="Arial Black" w:eastAsia="Arial Black" w:hAnsi="Arial Black"/>
                <w:color w:val="000000"/>
              </w:rPr>
            </w:pPr>
            <w:r w:rsidDel="00000000" w:rsidR="00000000" w:rsidRPr="00000000">
              <w:rPr>
                <w:rFonts w:ascii="Arial Black" w:cs="Arial Black" w:eastAsia="Arial Black" w:hAnsi="Arial Black"/>
                <w:color w:val="000000"/>
                <w:rtl w:val="0"/>
              </w:rPr>
              <w:t xml:space="preserve">Ressources documentaires :</w:t>
            </w:r>
          </w:p>
        </w:tc>
      </w:tr>
      <w:tr>
        <w:trPr>
          <w:trHeight w:val="280" w:hRule="atLeast"/>
        </w:trPr>
        <w:tc>
          <w:tcPr>
            <w:gridSpan w:val="8"/>
            <w:vMerge w:val="restart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1. Professeur des écoles, admissibilité. Hatier concours.</w:t>
            </w:r>
          </w:p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Charnay R, Mante M. (2017). Mathématiques tome 2. Professeur des écoles, admissibilité. Hatier concours.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Collection Ermel. Apprentissages numériques et résolution de problèmes. GS à CM2.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Code studio - Cours progressifs pour débuter en programmation. https://studio.code.org/courses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Les fondamentaux : des films agités pour bien cogiter – Canopé. https://www.reseau-canope.fr/lesfondamentaux/accueil.html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Mathenpoche - Site de l’association Sésamath qui propose des ressources pour le collège. http://mathenpoche.sesamath.net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9"/>
                <w:szCs w:val="19"/>
                <w:u w:val="none"/>
                <w:shd w:fill="auto" w:val="clear"/>
                <w:vertAlign w:val="baseline"/>
                <w:rtl w:val="0"/>
              </w:rPr>
              <w:t xml:space="preserve">Page maths de l’ESPE de la Réunion : </w:t>
            </w:r>
            <w:hyperlink r:id="rId6">
              <w:r w:rsidDel="00000000" w:rsidR="00000000" w:rsidRPr="00000000">
                <w:rPr>
                  <w:rFonts w:ascii="Times New Roman" w:cs="Times New Roman" w:eastAsia="Times New Roman" w:hAnsi="Times New Roman"/>
                  <w:b w:val="0"/>
                  <w:i w:val="0"/>
                  <w:smallCaps w:val="0"/>
                  <w:strike w:val="0"/>
                  <w:color w:val="0000ff"/>
                  <w:sz w:val="19"/>
                  <w:szCs w:val="19"/>
                  <w:u w:val="single"/>
                  <w:shd w:fill="auto" w:val="clear"/>
                  <w:vertAlign w:val="baseline"/>
                  <w:rtl w:val="0"/>
                </w:rPr>
                <w:t xml:space="preserve">http://espe.univ-reunion.fr/ressources/disciplines/mathematiques-pe/cours-et-td-s2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72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vMerge w:val="continue"/>
            <w:tcBorders>
              <w:top w:color="000000" w:space="0" w:sz="12" w:val="single"/>
              <w:left w:color="000000" w:space="0" w:sz="12" w:val="single"/>
              <w:bottom w:color="000000" w:space="0" w:sz="12" w:val="single"/>
              <w:right w:color="000000" w:space="0" w:sz="12" w:val="single"/>
            </w:tcBorders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/>
      <w:pgMar w:bottom="289" w:top="454" w:left="454" w:right="45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  <w:font w:name="Arial Black">
    <w:embedRegular w:fontKey="{00000000-0000-0000-0000-000000000000}" r:id="rId1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SYLLABUS MASTER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://espe.univ-reunion.fr/ressources/disciplines/mathematiques-pe/cours-et-td-s2" TargetMode="Externa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