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46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UE 1-4 Histoire, géographie, E.M.C., M1 Maîtriser les savoirs disciplinaires et leur didactique. </w:t>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Préparation à l’option du C.R.P.E.</w:t>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center"/>
              <w:rPr>
                <w:color w:val="000000"/>
              </w:rPr>
            </w:pPr>
            <w:r w:rsidDel="00000000" w:rsidR="00000000" w:rsidRPr="00000000">
              <w:rPr>
                <w:rtl w:val="0"/>
              </w:rPr>
              <w:t xml:space="preserve">5</w:t>
            </w:r>
            <w:r w:rsidDel="00000000" w:rsidR="00000000" w:rsidRPr="00000000">
              <w:rPr>
                <w:color w:val="000000"/>
                <w:rtl w:val="0"/>
              </w:rPr>
              <w:t xml:space="preserve">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rtl w:val="0"/>
              </w:rPr>
              <w:t xml:space="preserve">15</w:t>
            </w:r>
            <w:r w:rsidDel="00000000" w:rsidR="00000000" w:rsidRPr="00000000">
              <w:rPr>
                <w:color w:val="000000"/>
                <w:rtl w:val="0"/>
              </w:rPr>
              <w:t xml:space="preserve">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Responsable de l'UE : Fageol Pierre-éric</w:t>
            </w:r>
            <w:r w:rsidDel="00000000" w:rsidR="00000000" w:rsidRPr="00000000">
              <w:rPr>
                <w:rtl w:val="0"/>
              </w:rPr>
            </w:r>
          </w:p>
          <w:p w:rsidR="00000000" w:rsidDel="00000000" w:rsidP="00000000" w:rsidRDefault="00000000" w:rsidRPr="00000000" w14:paraId="0000001B">
            <w:pPr>
              <w:spacing w:after="0" w:line="240" w:lineRule="auto"/>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F">
            <w:pPr>
              <w:spacing w:after="0" w:line="240" w:lineRule="auto"/>
              <w:rPr/>
            </w:pPr>
            <w:r w:rsidDel="00000000" w:rsidR="00000000" w:rsidRPr="00000000">
              <w:rPr>
                <w:rtl w:val="0"/>
              </w:rPr>
              <w:t xml:space="preserve">courriel </w:t>
            </w:r>
            <w:r w:rsidDel="00000000" w:rsidR="00000000" w:rsidRPr="00000000">
              <w:rPr>
                <w:color w:val="000000"/>
                <w:rtl w:val="0"/>
              </w:rPr>
              <w:t xml:space="preserve">:</w:t>
            </w:r>
            <w:r w:rsidDel="00000000" w:rsidR="00000000" w:rsidRPr="00000000">
              <w:rPr>
                <w:rtl w:val="0"/>
              </w:rPr>
              <w:t xml:space="preserve"> pierre-eric.fageol@univ-reunion.fr</w:t>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3">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4">
            <w:pPr>
              <w:spacing w:after="0" w:line="240" w:lineRule="auto"/>
              <w:jc w:val="center"/>
              <w:rPr>
                <w:color w:val="000000"/>
              </w:rPr>
            </w:pPr>
            <w:r w:rsidDel="00000000" w:rsidR="00000000" w:rsidRPr="00000000">
              <w:rPr>
                <w:color w:val="000000"/>
                <w:rtl w:val="0"/>
              </w:rPr>
              <w:t xml:space="preserve">Patricia Grondin</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7">
            <w:pPr>
              <w:spacing w:after="0" w:line="240" w:lineRule="auto"/>
              <w:rPr>
                <w:color w:val="000000"/>
              </w:rPr>
            </w:pPr>
            <w:r w:rsidDel="00000000" w:rsidR="00000000" w:rsidRPr="00000000">
              <w:rPr>
                <w:color w:val="000000"/>
                <w:rtl w:val="0"/>
              </w:rPr>
              <w:t xml:space="preserve">courriel : patricia.grondin@univ-reunion.fr</w:t>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C">
            <w:pPr>
              <w:spacing w:after="0" w:line="240" w:lineRule="auto"/>
              <w:jc w:val="center"/>
              <w:rPr>
                <w:color w:val="000000"/>
              </w:rPr>
            </w:pPr>
            <w:r w:rsidDel="00000000" w:rsidR="00000000" w:rsidRPr="00000000">
              <w:rPr>
                <w:color w:val="000000"/>
                <w:rtl w:val="0"/>
              </w:rPr>
              <w:t xml:space="preserve"> Sénécal Elodie</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F">
            <w:pPr>
              <w:spacing w:after="0" w:line="240" w:lineRule="auto"/>
              <w:rPr>
                <w:color w:val="000000"/>
              </w:rPr>
            </w:pPr>
            <w:r w:rsidDel="00000000" w:rsidR="00000000" w:rsidRPr="00000000">
              <w:rPr>
                <w:color w:val="000000"/>
                <w:rtl w:val="0"/>
              </w:rPr>
              <w:t xml:space="preserve">courriel : Elodie-Nadine.Senecal@ac-reunion.fr</w:t>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34">
            <w:pPr>
              <w:spacing w:after="0" w:line="240" w:lineRule="auto"/>
              <w:jc w:val="center"/>
              <w:rPr>
                <w:color w:val="000000"/>
              </w:rPr>
            </w:pPr>
            <w:r w:rsidDel="00000000" w:rsidR="00000000" w:rsidRPr="00000000">
              <w:rPr>
                <w:rtl w:val="0"/>
              </w:rPr>
              <w:t xml:space="preserve">Bernard Christophe</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37">
            <w:pPr>
              <w:spacing w:after="0" w:line="240" w:lineRule="auto"/>
              <w:rPr>
                <w:color w:val="000000"/>
              </w:rPr>
            </w:pPr>
            <w:r w:rsidDel="00000000" w:rsidR="00000000" w:rsidRPr="00000000">
              <w:rPr>
                <w:rtl w:val="0"/>
              </w:rPr>
              <w:t xml:space="preserve">courriel : christophe.bernard7@gmail.com</w:t>
            </w:r>
            <w:r w:rsidDel="00000000" w:rsidR="00000000" w:rsidRPr="00000000">
              <w:rPr>
                <w:rtl w:val="0"/>
              </w:rPr>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C">
            <w:pPr>
              <w:spacing w:after="0" w:line="240" w:lineRule="auto"/>
              <w:jc w:val="center"/>
              <w:rPr/>
            </w:pPr>
            <w:r w:rsidDel="00000000" w:rsidR="00000000" w:rsidRPr="00000000">
              <w:rPr>
                <w:rtl w:val="0"/>
              </w:rPr>
              <w:t xml:space="preserve">Fageol Pierre-éric</w:t>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F">
            <w:pPr>
              <w:spacing w:after="0" w:line="240" w:lineRule="auto"/>
              <w:rPr>
                <w:color w:val="000000"/>
              </w:rPr>
            </w:pPr>
            <w:r w:rsidDel="00000000" w:rsidR="00000000" w:rsidRPr="00000000">
              <w:rPr>
                <w:color w:val="000000"/>
                <w:rtl w:val="0"/>
              </w:rPr>
              <w:t xml:space="preserve">courriel : pierre-eric.fageol@univ-reunion.fr</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3">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4">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5">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8">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9">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A">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4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B">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42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3">
            <w:pPr>
              <w:widowControl w:val="0"/>
              <w:spacing w:after="0" w:line="240" w:lineRule="auto"/>
              <w:jc w:val="both"/>
              <w:rPr>
                <w:color w:val="000000"/>
              </w:rPr>
            </w:pPr>
            <w:r w:rsidDel="00000000" w:rsidR="00000000" w:rsidRPr="00000000">
              <w:rPr>
                <w:rtl w:val="0"/>
              </w:rPr>
            </w:r>
          </w:p>
          <w:p w:rsidR="00000000" w:rsidDel="00000000" w:rsidP="00000000" w:rsidRDefault="00000000" w:rsidRPr="00000000" w14:paraId="00000054">
            <w:pPr>
              <w:widowControl w:val="0"/>
              <w:spacing w:after="0" w:line="240" w:lineRule="auto"/>
              <w:jc w:val="both"/>
              <w:rPr/>
            </w:pPr>
            <w:r w:rsidDel="00000000" w:rsidR="00000000" w:rsidRPr="00000000">
              <w:rPr>
                <w:color w:val="000000"/>
                <w:rtl w:val="0"/>
              </w:rPr>
              <w:t xml:space="preserve">Maîtriser les savoirs disciplinaires et leur didactique en Histoire, en Géographie et en EMC et faire des liens avec l'histoire des arts. Traiter les thématiques en orientant selon les axes du dossier, c’est-à-dire</w:t>
            </w:r>
            <w:r w:rsidDel="00000000" w:rsidR="00000000" w:rsidRPr="00000000">
              <w:rPr>
                <w:rtl w:val="0"/>
              </w:rPr>
              <w:t xml:space="preserve"> </w:t>
            </w:r>
            <w:r w:rsidDel="00000000" w:rsidR="00000000" w:rsidRPr="00000000">
              <w:rPr>
                <w:color w:val="000000"/>
                <w:rtl w:val="0"/>
              </w:rPr>
              <w:t xml:space="preserve">évoquer les enjeux épistémologiques, socio-culturels, didactiques et pédagogiques des thèmes au programme. </w:t>
            </w:r>
            <w:r w:rsidDel="00000000" w:rsidR="00000000" w:rsidRPr="00000000">
              <w:rPr>
                <w:rtl w:val="0"/>
              </w:rPr>
            </w:r>
          </w:p>
          <w:p w:rsidR="00000000" w:rsidDel="00000000" w:rsidP="00000000" w:rsidRDefault="00000000" w:rsidRPr="00000000" w14:paraId="00000055">
            <w:pPr>
              <w:widowControl w:val="0"/>
              <w:spacing w:after="0" w:line="240" w:lineRule="auto"/>
              <w:jc w:val="both"/>
              <w:rPr/>
            </w:pPr>
            <w:r w:rsidDel="00000000" w:rsidR="00000000" w:rsidRPr="00000000">
              <w:rPr>
                <w:rtl w:val="0"/>
              </w:rPr>
            </w:r>
          </w:p>
          <w:p w:rsidR="00000000" w:rsidDel="00000000" w:rsidP="00000000" w:rsidRDefault="00000000" w:rsidRPr="00000000" w14:paraId="00000056">
            <w:pPr>
              <w:widowControl w:val="0"/>
              <w:spacing w:after="0" w:line="240" w:lineRule="auto"/>
              <w:jc w:val="both"/>
              <w:rPr>
                <w:color w:val="000000"/>
              </w:rPr>
            </w:pPr>
            <w:r w:rsidDel="00000000" w:rsidR="00000000" w:rsidRPr="00000000">
              <w:rPr>
                <w:color w:val="000000"/>
                <w:rtl w:val="0"/>
              </w:rPr>
              <w:t xml:space="preserve">Aide ponctuelle à la préparation de séances en histoire, géographie ou EMC. </w:t>
            </w:r>
          </w:p>
          <w:p w:rsidR="00000000" w:rsidDel="00000000" w:rsidP="00000000" w:rsidRDefault="00000000" w:rsidRPr="00000000" w14:paraId="00000057">
            <w:pPr>
              <w:widowControl w:val="0"/>
              <w:spacing w:after="0" w:line="240" w:lineRule="auto"/>
              <w:jc w:val="both"/>
              <w:rPr/>
            </w:pPr>
            <w:r w:rsidDel="00000000" w:rsidR="00000000" w:rsidRPr="00000000">
              <w:rPr>
                <w:rtl w:val="0"/>
              </w:rPr>
            </w:r>
          </w:p>
          <w:p w:rsidR="00000000" w:rsidDel="00000000" w:rsidP="00000000" w:rsidRDefault="00000000" w:rsidRPr="00000000" w14:paraId="00000058">
            <w:pPr>
              <w:widowControl w:val="0"/>
              <w:spacing w:after="0" w:line="240" w:lineRule="auto"/>
              <w:jc w:val="both"/>
              <w:rPr>
                <w:color w:val="000000"/>
              </w:rPr>
            </w:pPr>
            <w:r w:rsidDel="00000000" w:rsidR="00000000" w:rsidRPr="00000000">
              <w:rPr>
                <w:color w:val="000000"/>
                <w:rtl w:val="0"/>
              </w:rPr>
              <w:t xml:space="preserve">En parallèle des conseils méthodologiques sont donnés sur le dossier CRPE. </w:t>
            </w:r>
          </w:p>
          <w:p w:rsidR="00000000" w:rsidDel="00000000" w:rsidP="00000000" w:rsidRDefault="00000000" w:rsidRPr="00000000" w14:paraId="00000059">
            <w:pPr>
              <w:widowControl w:val="0"/>
              <w:spacing w:after="0" w:line="240" w:lineRule="auto"/>
              <w:jc w:val="both"/>
              <w:rPr>
                <w:color w:val="000000"/>
              </w:rPr>
            </w:pPr>
            <w:r w:rsidDel="00000000" w:rsidR="00000000" w:rsidRPr="00000000">
              <w:rPr>
                <w:rtl w:val="0"/>
              </w:rPr>
            </w:r>
          </w:p>
          <w:p w:rsidR="00000000" w:rsidDel="00000000" w:rsidP="00000000" w:rsidRDefault="00000000" w:rsidRPr="00000000" w14:paraId="0000005A">
            <w:pPr>
              <w:widowControl w:val="0"/>
              <w:spacing w:after="0" w:line="240" w:lineRule="auto"/>
              <w:jc w:val="both"/>
              <w:rPr>
                <w:color w:val="000000"/>
              </w:rPr>
            </w:pPr>
            <w:r w:rsidDel="00000000" w:rsidR="00000000" w:rsidRPr="00000000">
              <w:rPr>
                <w:color w:val="000000"/>
                <w:rtl w:val="0"/>
              </w:rPr>
              <w:t xml:space="preserve"> </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A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A">
            <w:pPr>
              <w:spacing w:after="0" w:line="240" w:lineRule="auto"/>
              <w:jc w:val="both"/>
              <w:rPr>
                <w:color w:val="000000"/>
              </w:rPr>
            </w:pPr>
            <w:r w:rsidDel="00000000" w:rsidR="00000000" w:rsidRPr="00000000">
              <w:rPr>
                <w:rtl w:val="0"/>
              </w:rPr>
              <w:t xml:space="preserve">-Comprendre les finalités des trois disciplines, connaître les programmes scolaires pour établir une progressivité des apprentissages, avoir des ressources pédagogiques et des pistes pour la mise en activité des élèves en histoire/géographie/EMC.</w:t>
            </w:r>
            <w:r w:rsidDel="00000000" w:rsidR="00000000" w:rsidRPr="00000000">
              <w:rPr>
                <w:rtl w:val="0"/>
              </w:rPr>
            </w:r>
          </w:p>
          <w:p w:rsidR="00000000" w:rsidDel="00000000" w:rsidP="00000000" w:rsidRDefault="00000000" w:rsidRPr="00000000" w14:paraId="000000AB">
            <w:pPr>
              <w:spacing w:after="0" w:line="240" w:lineRule="auto"/>
              <w:jc w:val="both"/>
              <w:rPr>
                <w:color w:val="000000"/>
              </w:rPr>
            </w:pPr>
            <w:r w:rsidDel="00000000" w:rsidR="00000000" w:rsidRPr="00000000">
              <w:rPr>
                <w:color w:val="000000"/>
                <w:rtl w:val="0"/>
              </w:rPr>
              <w:t xml:space="preserve">-Préparer leur dossier d’option ainsi que le passage à l’oral en prenant en compte : les compétences scientifiques, didactiques, pédagogiques et la maîtrise de la langue.</w:t>
            </w:r>
          </w:p>
          <w:p w:rsidR="00000000" w:rsidDel="00000000" w:rsidP="00000000" w:rsidRDefault="00000000" w:rsidRPr="00000000" w14:paraId="000000AC">
            <w:pPr>
              <w:spacing w:after="0" w:line="240" w:lineRule="auto"/>
              <w:jc w:val="both"/>
              <w:rPr>
                <w:color w:val="000000"/>
              </w:rPr>
            </w:pPr>
            <w:r w:rsidDel="00000000" w:rsidR="00000000" w:rsidRPr="00000000">
              <w:rPr>
                <w:color w:val="000000"/>
                <w:rtl w:val="0"/>
              </w:rPr>
              <w:t xml:space="preserve">--Réfléchir à la préparation d’une séquence et d’une séance soit en histoire (ou sur le temps) ou géographie (ou sur l’espace) du cycle 1 au cycle 3, ou en enseignement moral et civique (cycles 2 et 3). </w:t>
            </w:r>
          </w:p>
          <w:p w:rsidR="00000000" w:rsidDel="00000000" w:rsidP="00000000" w:rsidRDefault="00000000" w:rsidRPr="00000000" w14:paraId="000000AD">
            <w:pPr>
              <w:spacing w:after="0" w:line="240" w:lineRule="auto"/>
              <w:jc w:val="both"/>
              <w:rPr>
                <w:color w:val="000000"/>
              </w:rPr>
            </w:pPr>
            <w:r w:rsidDel="00000000" w:rsidR="00000000" w:rsidRPr="00000000">
              <w:rPr>
                <w:color w:val="000000"/>
                <w:rtl w:val="0"/>
              </w:rPr>
              <w:t xml:space="preserve">-Professionnaliser les étudiants pour qu’ils adoptent la posture d’un.e futur.e professeur.e des écoles et qu’il devienne un « praticien réflexif ».c</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D5">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D">
            <w:pPr>
              <w:widowControl w:val="0"/>
              <w:spacing w:after="0" w:line="240" w:lineRule="auto"/>
              <w:jc w:val="both"/>
              <w:rPr/>
            </w:pPr>
            <w:r w:rsidDel="00000000" w:rsidR="00000000" w:rsidRPr="00000000">
              <w:rPr>
                <w:rtl w:val="0"/>
              </w:rPr>
              <w:t xml:space="preserve">Référentiel de compétences des métiers du professorat et de l’éducation du 25 juillet 2013</w:t>
            </w:r>
          </w:p>
          <w:p w:rsidR="00000000" w:rsidDel="00000000" w:rsidP="00000000" w:rsidRDefault="00000000" w:rsidRPr="00000000" w14:paraId="000000DE">
            <w:pPr>
              <w:widowControl w:val="0"/>
              <w:spacing w:after="0" w:line="240" w:lineRule="auto"/>
              <w:jc w:val="both"/>
              <w:rPr/>
            </w:pPr>
            <w:r w:rsidDel="00000000" w:rsidR="00000000" w:rsidRPr="00000000">
              <w:rPr>
                <w:rtl w:val="0"/>
              </w:rPr>
            </w:r>
          </w:p>
          <w:p w:rsidR="00000000" w:rsidDel="00000000" w:rsidP="00000000" w:rsidRDefault="00000000" w:rsidRPr="00000000" w14:paraId="000000DF">
            <w:pPr>
              <w:widowControl w:val="0"/>
              <w:spacing w:after="0" w:line="240" w:lineRule="auto"/>
              <w:jc w:val="both"/>
              <w:rPr/>
            </w:pPr>
            <w:r w:rsidDel="00000000" w:rsidR="00000000" w:rsidRPr="00000000">
              <w:rPr>
                <w:rtl w:val="0"/>
              </w:rPr>
              <w:t xml:space="preserve">P1. Maîtriser les savoirs disciplinaires et leur didactique.</w:t>
            </w:r>
          </w:p>
          <w:p w:rsidR="00000000" w:rsidDel="00000000" w:rsidP="00000000" w:rsidRDefault="00000000" w:rsidRPr="00000000" w14:paraId="000000E0">
            <w:pPr>
              <w:widowControl w:val="0"/>
              <w:spacing w:after="0" w:line="240" w:lineRule="auto"/>
              <w:jc w:val="both"/>
              <w:rPr/>
            </w:pPr>
            <w:r w:rsidDel="00000000" w:rsidR="00000000" w:rsidRPr="00000000">
              <w:rPr>
                <w:rtl w:val="0"/>
              </w:rPr>
              <w:t xml:space="preserve">P2. Maîtriser la langue française dans le cadre de son enseignement.</w:t>
            </w:r>
          </w:p>
          <w:p w:rsidR="00000000" w:rsidDel="00000000" w:rsidP="00000000" w:rsidRDefault="00000000" w:rsidRPr="00000000" w14:paraId="000000E1">
            <w:pPr>
              <w:widowControl w:val="0"/>
              <w:spacing w:after="0" w:line="240" w:lineRule="auto"/>
              <w:jc w:val="both"/>
              <w:rPr/>
            </w:pPr>
            <w:r w:rsidDel="00000000" w:rsidR="00000000" w:rsidRPr="00000000">
              <w:rPr>
                <w:rtl w:val="0"/>
              </w:rPr>
              <w:t xml:space="preserve">P3. Construire, mettre en œuvre et animer des situations d’enseignement et d’apprentissage prenant en compte la diversité des élèves.</w:t>
            </w:r>
          </w:p>
          <w:p w:rsidR="00000000" w:rsidDel="00000000" w:rsidP="00000000" w:rsidRDefault="00000000" w:rsidRPr="00000000" w14:paraId="000000E2">
            <w:pPr>
              <w:widowControl w:val="0"/>
              <w:spacing w:after="0" w:line="240" w:lineRule="auto"/>
              <w:jc w:val="both"/>
              <w:rPr/>
            </w:pPr>
            <w:r w:rsidDel="00000000" w:rsidR="00000000" w:rsidRPr="00000000">
              <w:rPr>
                <w:rtl w:val="0"/>
              </w:rPr>
              <w:t xml:space="preserve">P4. Organiser et assurer un mode de fonctionnement du groupe favorisant l’apprentissage et la socialisation des élèves.</w:t>
            </w:r>
          </w:p>
          <w:p w:rsidR="00000000" w:rsidDel="00000000" w:rsidP="00000000" w:rsidRDefault="00000000" w:rsidRPr="00000000" w14:paraId="000000E3">
            <w:pPr>
              <w:widowControl w:val="0"/>
              <w:spacing w:after="0" w:line="240" w:lineRule="auto"/>
              <w:jc w:val="both"/>
              <w:rPr/>
            </w:pPr>
            <w:r w:rsidDel="00000000" w:rsidR="00000000" w:rsidRPr="00000000">
              <w:rPr>
                <w:rtl w:val="0"/>
              </w:rPr>
              <w:t xml:space="preserve">P5. Evaluer les progrès et les acquisitions des élèves.</w:t>
            </w:r>
          </w:p>
          <w:p w:rsidR="00000000" w:rsidDel="00000000" w:rsidP="00000000" w:rsidRDefault="00000000" w:rsidRPr="00000000" w14:paraId="000000E4">
            <w:pPr>
              <w:widowControl w:val="0"/>
              <w:spacing w:after="0" w:line="240" w:lineRule="auto"/>
              <w:jc w:val="both"/>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14">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1C">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20">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w:t>
            </w:r>
          </w:p>
        </w:tc>
      </w:tr>
      <w:tr>
        <w:trPr>
          <w:trHeight w:val="28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4">
            <w:pPr>
              <w:spacing w:after="0" w:line="240" w:lineRule="auto"/>
              <w:rPr/>
            </w:pPr>
            <w:bookmarkStart w:colFirst="0" w:colLast="0" w:name="_gjdgxs" w:id="0"/>
            <w:bookmarkEnd w:id="0"/>
            <w:r w:rsidDel="00000000" w:rsidR="00000000" w:rsidRPr="00000000">
              <w:rPr>
                <w:color w:val="000000"/>
                <w:rtl w:val="0"/>
              </w:rPr>
              <w:t xml:space="preserve"> Monter une séance en Histoire, géographie ou EMC ou évaluer des éléments du dossier : introduction, plan. </w:t>
            </w:r>
            <w:r w:rsidDel="00000000" w:rsidR="00000000" w:rsidRPr="00000000">
              <w:rPr>
                <w:rtl w:val="0"/>
              </w:rPr>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8">
            <w:pPr>
              <w:spacing w:after="0" w:line="240" w:lineRule="auto"/>
              <w:rPr>
                <w:color w:val="000000"/>
              </w:rPr>
            </w:pPr>
            <w:r w:rsidDel="00000000" w:rsidR="00000000" w:rsidRPr="00000000">
              <w:rPr>
                <w:color w:val="000000"/>
                <w:rtl w:val="0"/>
              </w:rPr>
              <w:t xml:space="preserve"> </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4">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6">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4C">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Falaize Benoît,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Enseigner l’histoire à l’école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2016.</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Buisson M., Greff 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Construire la notion de temps à l’école maternelle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2005.</w:t>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Fageol P.-É. &amp; Roux O. (2007). </w:t>
            </w:r>
            <w:r w:rsidDel="00000000" w:rsidR="00000000" w:rsidRPr="00000000">
              <w:rPr>
                <w:i w:val="1"/>
                <w:rtl w:val="0"/>
              </w:rPr>
              <w:t xml:space="preserve">Dictionnaire thématique d’histoire et de géographie du professeur des écoles</w:t>
            </w:r>
            <w:r w:rsidDel="00000000" w:rsidR="00000000" w:rsidRPr="00000000">
              <w:rPr>
                <w:rtl w:val="0"/>
              </w:rPr>
              <w:t xml:space="preserve">. Paris : Éd. Séli Arslan, 368 p.</w:t>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Mettoudi Chantal,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Comment enseigner en maternelle, la découverte du monde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Hachette, Paris, 2011.</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Guichard Françoise et Guichard Jack,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 temps cycle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Hachette, 2011.</w:t>
            </w:r>
          </w:p>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Bouteville Elsa et Falaize Benoît,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Espace temps CP-CE1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2017</w:t>
            </w:r>
          </w:p>
          <w:p w:rsidR="00000000" w:rsidDel="00000000" w:rsidP="00000000" w:rsidRDefault="00000000" w:rsidRPr="00000000" w14:paraId="000001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Bulletin Officiel du 11 au 26 novembre 2015 :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http://cache.media.education.gouv.fr/file/MEN_SPE_11/35/1/BO_SPE_11_26-11-2015_504351.pdf</w:t>
              </w:r>
            </w:hyperlink>
            <w:r w:rsidDel="00000000" w:rsidR="00000000" w:rsidRPr="00000000">
              <w:rPr>
                <w:rtl w:val="0"/>
              </w:rPr>
            </w:r>
          </w:p>
          <w:p w:rsidR="00000000" w:rsidDel="00000000" w:rsidP="00000000" w:rsidRDefault="00000000" w:rsidRPr="00000000" w14:paraId="000001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fiches Eduscol :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http://eduscol.education.fr/</w:t>
              </w:r>
            </w:hyperlink>
            <w:r w:rsidDel="00000000" w:rsidR="00000000" w:rsidRPr="00000000">
              <w:rPr>
                <w:rtl w:val="0"/>
              </w:rPr>
            </w:r>
          </w:p>
          <w:p w:rsidR="00000000" w:rsidDel="00000000" w:rsidP="00000000" w:rsidRDefault="00000000" w:rsidRPr="00000000" w14:paraId="000001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http://www.devenirenseignant.gouv.fr/cid98653/les-epreuves-du-crpe-externe-du-troisieme-crpe-et-du-second-crpe-interne.html</w:t>
              </w:r>
            </w:hyperlink>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4">
      <w:pPr>
        <w:rPr/>
      </w:pPr>
      <w:r w:rsidDel="00000000" w:rsidR="00000000" w:rsidRPr="00000000">
        <w:rPr>
          <w:rtl w:val="0"/>
        </w:rPr>
      </w:r>
    </w:p>
    <w:sectPr>
      <w:headerReference r:id="rId9"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cache.media.education.gouv.fr/file/MEN_SPE_11/35/1/BO_SPE_11_26-11-2015_504351.pdf" TargetMode="External"/><Relationship Id="rId7" Type="http://schemas.openxmlformats.org/officeDocument/2006/relationships/hyperlink" Target="http://eduscol.education.fr/" TargetMode="External"/><Relationship Id="rId8" Type="http://schemas.openxmlformats.org/officeDocument/2006/relationships/hyperlink" Target="http://www.devenirenseignant.gouv.fr/cid98653/les-epreuves-du-crpe-externe-du-troisieme-crpe-et-du-second-crpe-intern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