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250"/>
        <w:gridCol w:w="10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250"/>
            <w:gridCol w:w="10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2-2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Maîtriser les savoirs disciplinaires et leur didactique relatifs aux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mathématiques – 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20h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Tiennot Luc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luc.tiennot@univ-reunion.fr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Marvilliers Sandrine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sandrine.marvilliers@univ-reunion.fr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272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disciplinaires abordées :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Arithmétique 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Géométrie dans l’espace 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Théorème de Thalès et transformations 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Probabilités 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Statistiques 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Volumes et autres grandeurs.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Notions didactiques abordées 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Champ multiplicatif et résolution de problèmes 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Fractions et décimaux 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Géométrie dans l’espace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Transversal 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Proportionnalité (didactique).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44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les savoirs mathématiques nécessaires pour enseigner les mathématiques à l’école primaire.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Réfléchir à la transposition didactique de ces savoirs, à ses enjeux comme à ses moyens.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supports pédagogiques (extraits de manuels, séances d’apprentissage…).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productions d’élève.</w:t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</w:t>
            </w:r>
          </w:p>
        </w:tc>
      </w:tr>
      <w:tr>
        <w:trPr>
          <w:trHeight w:val="46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Maîtriser les savoirs disciplinaires dans le domaine des activités numériques, géométriques, des grandeurs et mesures en mathématiques.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Situer les repères fondamentaux, les enjeux épistémologiques et les problèmes didactiques dans le domaine des mathématiques.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les réussites et les erreurs, concevoir et mettre en œuvre des activités de remédiation et de consolidation des acquis.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 de 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session.</w:t>
            </w:r>
          </w:p>
        </w:tc>
      </w:tr>
      <w:tr>
        <w:trPr>
          <w:trHeight w:val="28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4 heures de type concours.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Régime dérogatoire :</w:t>
            </w:r>
            <w:r w:rsidDel="00000000" w:rsidR="00000000" w:rsidRPr="00000000">
              <w:rPr>
                <w:rtl w:val="0"/>
              </w:rPr>
              <w:t xml:space="preserve"> 1devoir de 4 heures de type concours.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</w:t>
            </w:r>
          </w:p>
        </w:tc>
      </w:tr>
      <w:tr>
        <w:trPr>
          <w:trHeight w:val="280" w:hRule="atLeast"/>
        </w:trPr>
        <w:tc>
          <w:tcPr>
            <w:gridSpan w:val="9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Collection Ermel. Apprentissages géométriques et résolution de problèmes. GS à CM2.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Code studio - Cours progressifs pour débuter en programmation. https://studio.code.org/courses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http://mathenpoche.sesamath.net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maths de l’ESPE de la Réunion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http://espe.univ-reunion.fr/ressources/disciplines/mathematiques-pe/cours-et-td-s2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spe.univ-reunion.fr/ressources/disciplines/mathematiques-pe/cours-et-td-s2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