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3.0" w:type="dxa"/>
        <w:jc w:val="left"/>
        <w:tblInd w:w="60.0" w:type="dxa"/>
        <w:tblLayout w:type="fixed"/>
        <w:tblLook w:val="0000"/>
      </w:tblPr>
      <w:tblGrid>
        <w:gridCol w:w="1768"/>
        <w:gridCol w:w="1155"/>
        <w:gridCol w:w="1353"/>
        <w:gridCol w:w="1358"/>
        <w:gridCol w:w="1353"/>
        <w:gridCol w:w="1357"/>
        <w:gridCol w:w="1353"/>
        <w:gridCol w:w="1356"/>
        <w:tblGridChange w:id="0">
          <w:tblGrid>
            <w:gridCol w:w="1768"/>
            <w:gridCol w:w="1155"/>
            <w:gridCol w:w="1353"/>
            <w:gridCol w:w="1358"/>
            <w:gridCol w:w="1353"/>
            <w:gridCol w:w="1357"/>
            <w:gridCol w:w="1353"/>
            <w:gridCol w:w="1356"/>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bookmarkStart w:colFirst="0" w:colLast="0" w:name="_gjdgxs" w:id="0"/>
            <w:bookmarkEnd w:id="0"/>
            <w:r w:rsidDel="00000000" w:rsidR="00000000" w:rsidRPr="00000000">
              <w:rPr>
                <w:rFonts w:ascii="Arial Black" w:cs="Arial Black" w:eastAsia="Arial Black" w:hAnsi="Arial Black"/>
                <w:color w:val="000000"/>
                <w:rtl w:val="0"/>
              </w:rPr>
              <w:t xml:space="preserve">IDENTIFICATION DU COURS : UE </w:t>
            </w:r>
            <w:r w:rsidDel="00000000" w:rsidR="00000000" w:rsidRPr="00000000">
              <w:rPr>
                <w:rFonts w:ascii="Arial Black" w:cs="Arial Black" w:eastAsia="Arial Black" w:hAnsi="Arial Black"/>
                <w:rtl w:val="0"/>
              </w:rPr>
              <w:t xml:space="preserve">construction et analyses en sciences niveau 2</w:t>
            </w:r>
            <w:r w:rsidDel="00000000" w:rsidR="00000000" w:rsidRPr="00000000">
              <w:rPr>
                <w:rtl w:val="0"/>
              </w:rPr>
            </w:r>
          </w:p>
        </w:tc>
      </w:tr>
      <w:tr>
        <w:trPr>
          <w:trHeight w:val="300" w:hRule="atLeast"/>
        </w:trPr>
        <w:tc>
          <w:tcPr>
            <w:gridSpan w:val="6"/>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Intitulé : </w:t>
            </w:r>
            <w:r w:rsidDel="00000000" w:rsidR="00000000" w:rsidRPr="00000000">
              <w:rPr>
                <w:rtl w:val="0"/>
              </w:rPr>
              <w:t xml:space="preserve">Construction et analyses en sciences niveau 2</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12" w:val="single"/>
            </w:tcBorders>
            <w:vAlign w:val="center"/>
          </w:tcPr>
          <w:p w:rsidR="00000000" w:rsidDel="00000000" w:rsidP="00000000" w:rsidRDefault="00000000" w:rsidRPr="00000000" w14:paraId="00000010">
            <w:pPr>
              <w:spacing w:after="0" w:line="240" w:lineRule="auto"/>
              <w:rPr>
                <w:color w:val="000000"/>
              </w:rPr>
            </w:pPr>
            <w:r w:rsidDel="00000000" w:rsidR="00000000" w:rsidRPr="00000000">
              <w:rPr>
                <w:color w:val="000000"/>
                <w:rtl w:val="0"/>
              </w:rPr>
              <w:t xml:space="preserve">Code : </w:t>
            </w:r>
          </w:p>
        </w:tc>
      </w:tr>
      <w:tr>
        <w:trPr>
          <w:trHeight w:val="280" w:hRule="atLeast"/>
        </w:trPr>
        <w:tc>
          <w:tcPr>
            <w:gridSpan w:val="2"/>
            <w:tcBorders>
              <w:top w:color="000000" w:space="0" w:sz="0" w:val="nil"/>
              <w:left w:color="000000" w:space="0" w:sz="12" w:val="single"/>
              <w:bottom w:color="000000" w:space="0" w:sz="0" w:val="nil"/>
              <w:right w:color="000000" w:space="0" w:sz="4" w:val="single"/>
            </w:tcBorders>
            <w:vAlign w:val="center"/>
          </w:tcPr>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Volume horaire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4">
            <w:pPr>
              <w:spacing w:after="0" w:line="240" w:lineRule="auto"/>
              <w:jc w:val="right"/>
              <w:rPr>
                <w:color w:val="000000"/>
              </w:rPr>
            </w:pPr>
            <w:r w:rsidDel="00000000" w:rsidR="00000000" w:rsidRPr="00000000">
              <w:rPr>
                <w:color w:val="000000"/>
                <w:rtl w:val="0"/>
              </w:rPr>
              <w:t xml:space="preserve">…..h CM</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5">
            <w:pPr>
              <w:spacing w:after="0" w:line="240" w:lineRule="auto"/>
              <w:jc w:val="center"/>
              <w:rPr>
                <w:color w:val="000000"/>
              </w:rPr>
            </w:pPr>
            <w:r w:rsidDel="00000000" w:rsidR="00000000" w:rsidRPr="00000000">
              <w:rPr>
                <w:rtl w:val="0"/>
              </w:rPr>
              <w:t xml:space="preserve">12</w:t>
            </w:r>
            <w:r w:rsidDel="00000000" w:rsidR="00000000" w:rsidRPr="00000000">
              <w:rPr>
                <w:color w:val="000000"/>
                <w:rtl w:val="0"/>
              </w:rPr>
              <w:t xml:space="preserve"> h TD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spacing w:after="0" w:line="240" w:lineRule="auto"/>
              <w:jc w:val="right"/>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12" w:val="single"/>
            </w:tcBorders>
            <w:vAlign w:val="center"/>
          </w:tcPr>
          <w:p w:rsidR="00000000" w:rsidDel="00000000" w:rsidP="00000000" w:rsidRDefault="00000000" w:rsidRPr="00000000" w14:paraId="00000018">
            <w:pPr>
              <w:spacing w:after="0" w:line="240" w:lineRule="auto"/>
              <w:rPr>
                <w:color w:val="000000"/>
              </w:rPr>
            </w:pPr>
            <w:r w:rsidDel="00000000" w:rsidR="00000000" w:rsidRPr="00000000">
              <w:rPr>
                <w:color w:val="000000"/>
                <w:rtl w:val="0"/>
              </w:rPr>
              <w:t xml:space="preserve">COEFF : 0</w:t>
            </w:r>
          </w:p>
        </w:tc>
      </w:tr>
      <w:tr>
        <w:trPr>
          <w:trHeight w:val="280" w:hRule="atLeast"/>
        </w:trPr>
        <w:tc>
          <w:tcPr>
            <w:gridSpan w:val="4"/>
            <w:tcBorders>
              <w:top w:color="000000" w:space="0" w:sz="4" w:val="single"/>
              <w:left w:color="000000" w:space="0" w:sz="12" w:val="single"/>
              <w:bottom w:color="000000" w:space="0" w:sz="4" w:val="single"/>
              <w:right w:color="000000" w:space="0" w:sz="4" w:val="single"/>
            </w:tcBorders>
            <w:vAlign w:val="bottom"/>
          </w:tcPr>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Responsable de l'UE : Sandrine MARVILLIERS</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1E">
            <w:pPr>
              <w:spacing w:after="0" w:line="240" w:lineRule="auto"/>
              <w:rPr/>
            </w:pPr>
            <w:r w:rsidDel="00000000" w:rsidR="00000000" w:rsidRPr="00000000">
              <w:rPr>
                <w:color w:val="000000"/>
                <w:rtl w:val="0"/>
              </w:rPr>
              <w:t xml:space="preserve">courriel : </w:t>
            </w:r>
            <w:hyperlink r:id="rId6">
              <w:r w:rsidDel="00000000" w:rsidR="00000000" w:rsidRPr="00000000">
                <w:rPr>
                  <w:color w:val="1155cc"/>
                  <w:u w:val="single"/>
                  <w:rtl w:val="0"/>
                </w:rPr>
                <w:t xml:space="preserve">sandrine.marvilliers@univ-reunion.fr</w:t>
              </w:r>
            </w:hyperlink>
            <w:r w:rsidDel="00000000" w:rsidR="00000000" w:rsidRPr="00000000">
              <w:rPr>
                <w:rtl w:val="0"/>
              </w:rPr>
            </w:r>
          </w:p>
        </w:tc>
      </w:tr>
      <w:tr>
        <w:trPr>
          <w:trHeight w:val="280" w:hRule="atLeast"/>
        </w:trPr>
        <w:tc>
          <w:tcPr>
            <w:vMerge w:val="restart"/>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2">
            <w:pPr>
              <w:spacing w:after="0" w:line="240" w:lineRule="auto"/>
              <w:jc w:val="center"/>
              <w:rPr>
                <w:color w:val="000000"/>
              </w:rPr>
            </w:pPr>
            <w:r w:rsidDel="00000000" w:rsidR="00000000" w:rsidRPr="00000000">
              <w:rPr>
                <w:color w:val="000000"/>
                <w:rtl w:val="0"/>
              </w:rPr>
              <w:t xml:space="preserve">Intervenants :</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3">
            <w:pPr>
              <w:spacing w:after="0" w:line="240" w:lineRule="auto"/>
              <w:rPr>
                <w:color w:val="000000"/>
              </w:rPr>
            </w:pPr>
            <w:r w:rsidDel="00000000" w:rsidR="00000000" w:rsidRPr="00000000">
              <w:rPr>
                <w:rtl w:val="0"/>
              </w:rPr>
              <w:t xml:space="preserve">Sandrine MARVILLIERS</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6">
            <w:pPr>
              <w:spacing w:after="0" w:line="240" w:lineRule="auto"/>
              <w:rPr>
                <w:color w:val="000000"/>
              </w:rPr>
            </w:pPr>
            <w:r w:rsidDel="00000000" w:rsidR="00000000" w:rsidRPr="00000000">
              <w:rPr>
                <w:color w:val="000000"/>
                <w:rtl w:val="0"/>
              </w:rPr>
              <w:t xml:space="preserve">courriel : </w:t>
            </w:r>
            <w:hyperlink r:id="rId7">
              <w:r w:rsidDel="00000000" w:rsidR="00000000" w:rsidRPr="00000000">
                <w:rPr>
                  <w:color w:val="1155cc"/>
                  <w:u w:val="single"/>
                  <w:rtl w:val="0"/>
                </w:rPr>
                <w:t xml:space="preserve">sandrine.marvilliers@univ-reunion.fr</w:t>
              </w:r>
            </w:hyperlink>
            <w:r w:rsidDel="00000000" w:rsidR="00000000" w:rsidRPr="00000000">
              <w:rPr>
                <w:rtl w:val="0"/>
              </w:rPr>
            </w:r>
          </w:p>
        </w:tc>
      </w:tr>
      <w:tr>
        <w:trPr>
          <w:trHeight w:val="28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B">
            <w:pPr>
              <w:spacing w:after="0" w:line="240" w:lineRule="auto"/>
              <w:jc w:val="center"/>
              <w:rPr>
                <w:color w:val="000000"/>
              </w:rPr>
            </w:pPr>
            <w:r w:rsidDel="00000000" w:rsidR="00000000" w:rsidRPr="00000000">
              <w:rPr>
                <w:color w:val="000000"/>
                <w:rtl w:val="0"/>
              </w:rPr>
              <w:t xml:space="preserve"> </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E">
            <w:pPr>
              <w:spacing w:after="0" w:line="240" w:lineRule="auto"/>
              <w:rPr>
                <w:color w:val="000000"/>
              </w:rPr>
            </w:pPr>
            <w:r w:rsidDel="00000000" w:rsidR="00000000" w:rsidRPr="00000000">
              <w:rPr>
                <w:color w:val="000000"/>
                <w:rtl w:val="0"/>
              </w:rPr>
              <w:t xml:space="preserve">courriel : </w:t>
            </w:r>
          </w:p>
        </w:tc>
      </w:tr>
      <w:tr>
        <w:trPr>
          <w:trHeight w:val="30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33">
            <w:pPr>
              <w:spacing w:after="0" w:line="240" w:lineRule="auto"/>
              <w:jc w:val="center"/>
              <w:rPr>
                <w:color w:val="000000"/>
              </w:rPr>
            </w:pPr>
            <w:r w:rsidDel="00000000" w:rsidR="00000000" w:rsidRPr="00000000">
              <w:rPr>
                <w:rtl w:val="0"/>
              </w:rPr>
            </w:r>
          </w:p>
        </w:tc>
        <w:tc>
          <w:tcPr>
            <w:gridSpan w:val="4"/>
            <w:tcBorders>
              <w:top w:color="000000" w:space="0" w:sz="4"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6">
            <w:pPr>
              <w:spacing w:after="0" w:line="240" w:lineRule="auto"/>
              <w:rPr>
                <w:color w:val="000000"/>
              </w:rPr>
            </w:pPr>
            <w:r w:rsidDel="00000000" w:rsidR="00000000" w:rsidRPr="00000000">
              <w:rPr>
                <w:color w:val="000000"/>
                <w:rtl w:val="0"/>
              </w:rPr>
              <w:t xml:space="preserve">courriel : </w:t>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A">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4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principes de fonctionnement : de quoi s’agit-il ? Quelles intentions ? </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A">
            <w:pPr>
              <w:spacing w:after="0" w:line="240" w:lineRule="auto"/>
              <w:jc w:val="both"/>
              <w:rPr>
                <w:sz w:val="24"/>
                <w:szCs w:val="24"/>
              </w:rPr>
            </w:pPr>
            <w:bookmarkStart w:colFirst="0" w:colLast="0" w:name="_gjdgxs" w:id="0"/>
            <w:bookmarkEnd w:id="0"/>
            <w:r w:rsidDel="00000000" w:rsidR="00000000" w:rsidRPr="00000000">
              <w:rPr>
                <w:sz w:val="24"/>
                <w:szCs w:val="24"/>
                <w:rtl w:val="0"/>
              </w:rPr>
              <w:t xml:space="preserve">Le contenu des cours se fera sous la forme de travaux dirigés, avec aide à la conception de séances prévues dans la progression des PES (cycles 1 à 3), analyses de ces séances une fois réalisées par les PES en classe, sur la base de retours de ceux-ci (vidéos de classe, productions d’élèves, témoignages…). Les analyses de pratiques proposées seront variées (analyses vidéo, possibles autoconfrontations, GEASE).</w:t>
            </w:r>
          </w:p>
          <w:p w:rsidR="00000000" w:rsidDel="00000000" w:rsidP="00000000" w:rsidRDefault="00000000" w:rsidRPr="00000000" w14:paraId="0000004B">
            <w:pPr>
              <w:spacing w:after="0" w:line="240" w:lineRule="auto"/>
              <w:jc w:val="both"/>
              <w:rPr>
                <w:sz w:val="24"/>
                <w:szCs w:val="24"/>
              </w:rPr>
            </w:pPr>
            <w:bookmarkStart w:colFirst="0" w:colLast="0" w:name="_ycmn2ayo8jkw" w:id="1"/>
            <w:bookmarkEnd w:id="1"/>
            <w:r w:rsidDel="00000000" w:rsidR="00000000" w:rsidRPr="00000000">
              <w:rPr>
                <w:sz w:val="24"/>
                <w:szCs w:val="24"/>
                <w:rtl w:val="0"/>
              </w:rPr>
              <w:t xml:space="preserve">La conception de séances / séquences en sciences et technologie sera basée sur la démarche d’investigation (démarche scientifique ; démarche technologique) pouvant répondre à un défi scientifique ou technologique. </w:t>
            </w:r>
          </w:p>
          <w:p w:rsidR="00000000" w:rsidDel="00000000" w:rsidP="00000000" w:rsidRDefault="00000000" w:rsidRPr="00000000" w14:paraId="0000004C">
            <w:pPr>
              <w:spacing w:after="0" w:line="240" w:lineRule="auto"/>
              <w:jc w:val="both"/>
              <w:rPr>
                <w:sz w:val="24"/>
                <w:szCs w:val="24"/>
              </w:rPr>
            </w:pPr>
            <w:bookmarkStart w:colFirst="0" w:colLast="0" w:name="_3v589ytadalb" w:id="2"/>
            <w:bookmarkEnd w:id="2"/>
            <w:r w:rsidDel="00000000" w:rsidR="00000000" w:rsidRPr="00000000">
              <w:rPr>
                <w:sz w:val="24"/>
                <w:szCs w:val="24"/>
                <w:rtl w:val="0"/>
              </w:rPr>
              <w:t xml:space="preserve">La focale sera mise sur :</w:t>
            </w:r>
          </w:p>
          <w:p w:rsidR="00000000" w:rsidDel="00000000" w:rsidP="00000000" w:rsidRDefault="00000000" w:rsidRPr="00000000" w14:paraId="0000004D">
            <w:pPr>
              <w:jc w:val="both"/>
              <w:rPr>
                <w:sz w:val="24"/>
                <w:szCs w:val="24"/>
              </w:rPr>
            </w:pPr>
            <w:r w:rsidDel="00000000" w:rsidR="00000000" w:rsidRPr="00000000">
              <w:rPr>
                <w:sz w:val="24"/>
                <w:szCs w:val="24"/>
                <w:rtl w:val="0"/>
              </w:rPr>
              <w:t xml:space="preserve">- La place de l’initiative et de l’autonomie </w:t>
            </w:r>
          </w:p>
          <w:p w:rsidR="00000000" w:rsidDel="00000000" w:rsidP="00000000" w:rsidRDefault="00000000" w:rsidRPr="00000000" w14:paraId="0000004E">
            <w:pPr>
              <w:jc w:val="both"/>
              <w:rPr>
                <w:sz w:val="24"/>
                <w:szCs w:val="24"/>
              </w:rPr>
            </w:pPr>
            <w:r w:rsidDel="00000000" w:rsidR="00000000" w:rsidRPr="00000000">
              <w:rPr>
                <w:sz w:val="24"/>
                <w:szCs w:val="24"/>
                <w:rtl w:val="0"/>
              </w:rPr>
              <w:t xml:space="preserve">- La pédagogie de projet et les partenariats</w:t>
            </w:r>
          </w:p>
          <w:p w:rsidR="00000000" w:rsidDel="00000000" w:rsidP="00000000" w:rsidRDefault="00000000" w:rsidRPr="00000000" w14:paraId="0000004F">
            <w:pPr>
              <w:jc w:val="both"/>
              <w:rPr>
                <w:sz w:val="24"/>
                <w:szCs w:val="24"/>
              </w:rPr>
            </w:pPr>
            <w:r w:rsidDel="00000000" w:rsidR="00000000" w:rsidRPr="00000000">
              <w:rPr>
                <w:sz w:val="24"/>
                <w:szCs w:val="24"/>
                <w:rtl w:val="0"/>
              </w:rPr>
              <w:t xml:space="preserve">- Connaissance du Patrimoine naturel et technologique de La Réunion</w:t>
            </w:r>
          </w:p>
          <w:p w:rsidR="00000000" w:rsidDel="00000000" w:rsidP="00000000" w:rsidRDefault="00000000" w:rsidRPr="00000000" w14:paraId="00000050">
            <w:pPr>
              <w:spacing w:after="0" w:line="240" w:lineRule="auto"/>
              <w:jc w:val="both"/>
              <w:rPr>
                <w:sz w:val="24"/>
                <w:szCs w:val="24"/>
              </w:rPr>
            </w:pPr>
            <w:r w:rsidDel="00000000" w:rsidR="00000000" w:rsidRPr="00000000">
              <w:rPr>
                <w:sz w:val="24"/>
                <w:szCs w:val="24"/>
                <w:rtl w:val="0"/>
              </w:rPr>
              <w:t xml:space="preserve">La conception des situations d’apprentissage s’appuiera sur des éléments de didactique et de pédagogie adaptés aux trois cycles.</w:t>
            </w:r>
          </w:p>
          <w:p w:rsidR="00000000" w:rsidDel="00000000" w:rsidP="00000000" w:rsidRDefault="00000000" w:rsidRPr="00000000" w14:paraId="00000051">
            <w:pPr>
              <w:spacing w:after="0" w:line="240" w:lineRule="auto"/>
              <w:jc w:val="both"/>
              <w:rPr>
                <w:sz w:val="24"/>
                <w:szCs w:val="24"/>
              </w:rPr>
            </w:pPr>
            <w:r w:rsidDel="00000000" w:rsidR="00000000" w:rsidRPr="00000000">
              <w:rPr>
                <w:sz w:val="24"/>
                <w:szCs w:val="24"/>
                <w:rtl w:val="0"/>
              </w:rPr>
              <w:br w:type="textWrapping"/>
              <w:t xml:space="preserve">Les TD porteront en particulier sur :</w:t>
            </w:r>
          </w:p>
          <w:p w:rsidR="00000000" w:rsidDel="00000000" w:rsidP="00000000" w:rsidRDefault="00000000" w:rsidRPr="00000000" w14:paraId="0000005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3">
            <w:pPr>
              <w:numPr>
                <w:ilvl w:val="0"/>
                <w:numId w:val="1"/>
              </w:numPr>
              <w:spacing w:after="0" w:line="240" w:lineRule="auto"/>
              <w:ind w:left="360"/>
              <w:jc w:val="both"/>
              <w:rPr>
                <w:sz w:val="24"/>
                <w:szCs w:val="24"/>
              </w:rPr>
            </w:pPr>
            <w:r w:rsidDel="00000000" w:rsidR="00000000" w:rsidRPr="00000000">
              <w:rPr>
                <w:sz w:val="24"/>
                <w:szCs w:val="24"/>
                <w:rtl w:val="0"/>
              </w:rPr>
              <w:t xml:space="preserve">La mise en place d’une démarche d’investigation (le schème de l’enquête scientifique) dans une séquence construite par un groupe d’étudiants </w:t>
            </w:r>
          </w:p>
          <w:p w:rsidR="00000000" w:rsidDel="00000000" w:rsidP="00000000" w:rsidRDefault="00000000" w:rsidRPr="00000000" w14:paraId="00000054">
            <w:pPr>
              <w:numPr>
                <w:ilvl w:val="0"/>
                <w:numId w:val="1"/>
              </w:numPr>
              <w:spacing w:after="0" w:line="240" w:lineRule="auto"/>
              <w:ind w:left="360"/>
              <w:jc w:val="both"/>
              <w:rPr>
                <w:sz w:val="24"/>
                <w:szCs w:val="24"/>
              </w:rPr>
            </w:pPr>
            <w:r w:rsidDel="00000000" w:rsidR="00000000" w:rsidRPr="00000000">
              <w:rPr>
                <w:sz w:val="24"/>
                <w:szCs w:val="24"/>
                <w:rtl w:val="0"/>
              </w:rPr>
              <w:t xml:space="preserve">Le défi scientifique élaboré mettra en évidence : des situations-problèmes, la dévolution du problème scientifique, les stratégies de résolution de problème : expérimentation, observation, modélisation analogique, recherche documentaire</w:t>
            </w:r>
          </w:p>
          <w:p w:rsidR="00000000" w:rsidDel="00000000" w:rsidP="00000000" w:rsidRDefault="00000000" w:rsidRPr="00000000" w14:paraId="00000055">
            <w:pPr>
              <w:numPr>
                <w:ilvl w:val="0"/>
                <w:numId w:val="1"/>
              </w:numPr>
              <w:spacing w:after="0" w:line="240" w:lineRule="auto"/>
              <w:ind w:left="360"/>
              <w:jc w:val="both"/>
              <w:rPr>
                <w:sz w:val="24"/>
                <w:szCs w:val="24"/>
              </w:rPr>
            </w:pPr>
            <w:r w:rsidDel="00000000" w:rsidR="00000000" w:rsidRPr="00000000">
              <w:rPr>
                <w:sz w:val="24"/>
                <w:szCs w:val="24"/>
                <w:rtl w:val="0"/>
              </w:rPr>
              <w:t xml:space="preserve">La conduite d’une pédagogie de projet</w:t>
            </w:r>
          </w:p>
          <w:p w:rsidR="00000000" w:rsidDel="00000000" w:rsidP="00000000" w:rsidRDefault="00000000" w:rsidRPr="00000000" w14:paraId="00000056">
            <w:pPr>
              <w:numPr>
                <w:ilvl w:val="0"/>
                <w:numId w:val="1"/>
              </w:numPr>
              <w:spacing w:after="0" w:line="240" w:lineRule="auto"/>
              <w:ind w:left="360"/>
              <w:jc w:val="both"/>
              <w:rPr>
                <w:sz w:val="24"/>
                <w:szCs w:val="24"/>
              </w:rPr>
            </w:pPr>
            <w:r w:rsidDel="00000000" w:rsidR="00000000" w:rsidRPr="00000000">
              <w:rPr>
                <w:sz w:val="24"/>
                <w:szCs w:val="24"/>
                <w:rtl w:val="0"/>
              </w:rPr>
              <w:t xml:space="preserve">La différenciation pédagogique </w:t>
            </w:r>
          </w:p>
          <w:p w:rsidR="00000000" w:rsidDel="00000000" w:rsidP="00000000" w:rsidRDefault="00000000" w:rsidRPr="00000000" w14:paraId="00000057">
            <w:pPr>
              <w:numPr>
                <w:ilvl w:val="0"/>
                <w:numId w:val="1"/>
              </w:numPr>
              <w:spacing w:after="0" w:line="240" w:lineRule="auto"/>
              <w:ind w:left="360"/>
              <w:jc w:val="both"/>
              <w:rPr>
                <w:sz w:val="24"/>
                <w:szCs w:val="24"/>
              </w:rPr>
            </w:pPr>
            <w:r w:rsidDel="00000000" w:rsidR="00000000" w:rsidRPr="00000000">
              <w:rPr>
                <w:sz w:val="24"/>
                <w:szCs w:val="24"/>
                <w:rtl w:val="0"/>
              </w:rPr>
              <w:t xml:space="preserve">L’évaluation en sciences</w:t>
            </w:r>
          </w:p>
          <w:p w:rsidR="00000000" w:rsidDel="00000000" w:rsidP="00000000" w:rsidRDefault="00000000" w:rsidRPr="00000000" w14:paraId="00000058">
            <w:pPr>
              <w:spacing w:after="0" w:line="240" w:lineRule="auto"/>
              <w:jc w:val="both"/>
              <w:rPr>
                <w:rFonts w:ascii="Arial" w:cs="Arial" w:eastAsia="Arial" w:hAnsi="Arial"/>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8">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9">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A">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F">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A0">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de l’UE pour les étudiants : </w:t>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8">
            <w:pPr>
              <w:spacing w:after="0" w:line="240" w:lineRule="auto"/>
              <w:jc w:val="both"/>
              <w:rPr>
                <w:sz w:val="24"/>
                <w:szCs w:val="24"/>
              </w:rPr>
            </w:pPr>
            <w:r w:rsidDel="00000000" w:rsidR="00000000" w:rsidRPr="00000000">
              <w:rPr>
                <w:sz w:val="24"/>
                <w:szCs w:val="24"/>
                <w:rtl w:val="0"/>
              </w:rPr>
              <w:t xml:space="preserve">L’objectif de ces enseignements est d’assurer la construction des premières compétences professionnelles de professeur des écoles pour assurer l’acquisition par les élèves de l’école primaire d’une première culture scientifique et technologique à partir d'une éducation scientifique et technologique. Les étudiants devront avoir compris les enjeux éducatifs de l’enseignement des sciences et des technologies, les spécificités de cet enseignement et les liens entre ces enseignements et les autres disciplines scolaires (en particulier les usages numériques).</w:t>
            </w:r>
          </w:p>
          <w:p w:rsidR="00000000" w:rsidDel="00000000" w:rsidP="00000000" w:rsidRDefault="00000000" w:rsidRPr="00000000" w14:paraId="000000A9">
            <w:pPr>
              <w:spacing w:after="0" w:line="240" w:lineRule="auto"/>
              <w:jc w:val="both"/>
              <w:rPr>
                <w:sz w:val="24"/>
                <w:szCs w:val="24"/>
              </w:rPr>
            </w:pPr>
            <w:r w:rsidDel="00000000" w:rsidR="00000000" w:rsidRPr="00000000">
              <w:rPr>
                <w:sz w:val="24"/>
                <w:szCs w:val="24"/>
                <w:rtl w:val="0"/>
              </w:rPr>
              <w:t xml:space="preserve">Une focale particulière sera mise sur la connaissance des dernières circulaires en date concernant les sciences et la technologie à l’école primaire, l’EDD et l’apport des documents d’accompagnement des programmes.</w:t>
            </w:r>
          </w:p>
          <w:p w:rsidR="00000000" w:rsidDel="00000000" w:rsidP="00000000" w:rsidRDefault="00000000" w:rsidRPr="00000000" w14:paraId="000000AA">
            <w:pPr>
              <w:spacing w:after="0" w:line="240" w:lineRule="auto"/>
              <w:jc w:val="both"/>
              <w:rPr>
                <w:sz w:val="24"/>
                <w:szCs w:val="24"/>
              </w:rPr>
            </w:pPr>
            <w:r w:rsidDel="00000000" w:rsidR="00000000" w:rsidRPr="00000000">
              <w:rPr>
                <w:sz w:val="24"/>
                <w:szCs w:val="24"/>
                <w:rtl w:val="0"/>
              </w:rPr>
              <w:br w:type="textWrapping"/>
              <w:t xml:space="preserve">A la fin de l’année, les étudiants seront en mesure de concevoir, de mettre en œuvre et d’analyser des séquences en sciences et technologie.</w:t>
            </w:r>
          </w:p>
          <w:p w:rsidR="00000000" w:rsidDel="00000000" w:rsidP="00000000" w:rsidRDefault="00000000" w:rsidRPr="00000000" w14:paraId="000000A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C">
            <w:pPr>
              <w:jc w:val="both"/>
              <w:rPr>
                <w:sz w:val="24"/>
                <w:szCs w:val="24"/>
              </w:rPr>
            </w:pPr>
            <w:r w:rsidDel="00000000" w:rsidR="00000000" w:rsidRPr="00000000">
              <w:rPr>
                <w:sz w:val="24"/>
                <w:szCs w:val="24"/>
                <w:rtl w:val="0"/>
              </w:rPr>
              <w:t xml:space="preserve">- Construire des séquences de sciences et technologie et des séances pour l’école élémentaire  </w:t>
            </w:r>
          </w:p>
          <w:p w:rsidR="00000000" w:rsidDel="00000000" w:rsidP="00000000" w:rsidRDefault="00000000" w:rsidRPr="00000000" w14:paraId="000000AD">
            <w:pPr>
              <w:jc w:val="both"/>
              <w:rPr>
                <w:sz w:val="24"/>
                <w:szCs w:val="24"/>
              </w:rPr>
            </w:pPr>
            <w:r w:rsidDel="00000000" w:rsidR="00000000" w:rsidRPr="00000000">
              <w:rPr>
                <w:sz w:val="24"/>
                <w:szCs w:val="24"/>
                <w:rtl w:val="0"/>
              </w:rPr>
              <w:t xml:space="preserve">- Mettre en place des véritables démarches d’investigation laissant la place à l’autonomie et à l’initiative </w:t>
            </w:r>
          </w:p>
          <w:p w:rsidR="00000000" w:rsidDel="00000000" w:rsidP="00000000" w:rsidRDefault="00000000" w:rsidRPr="00000000" w14:paraId="000000AE">
            <w:pPr>
              <w:jc w:val="both"/>
              <w:rPr>
                <w:sz w:val="24"/>
                <w:szCs w:val="24"/>
              </w:rPr>
            </w:pPr>
            <w:r w:rsidDel="00000000" w:rsidR="00000000" w:rsidRPr="00000000">
              <w:rPr>
                <w:sz w:val="24"/>
                <w:szCs w:val="24"/>
                <w:rtl w:val="0"/>
              </w:rPr>
              <w:t xml:space="preserve">- Intégrer l’environnement de La Réunion dans les choix pédagogiques</w:t>
            </w:r>
          </w:p>
          <w:p w:rsidR="00000000" w:rsidDel="00000000" w:rsidP="00000000" w:rsidRDefault="00000000" w:rsidRPr="00000000" w14:paraId="000000AF">
            <w:pPr>
              <w:jc w:val="both"/>
              <w:rPr>
                <w:sz w:val="24"/>
                <w:szCs w:val="24"/>
              </w:rPr>
            </w:pPr>
            <w:r w:rsidDel="00000000" w:rsidR="00000000" w:rsidRPr="00000000">
              <w:rPr>
                <w:sz w:val="24"/>
                <w:szCs w:val="24"/>
                <w:rtl w:val="0"/>
              </w:rPr>
              <w:t xml:space="preserve">- Mettre en place le cahier de chercheurs</w:t>
            </w:r>
          </w:p>
          <w:p w:rsidR="00000000" w:rsidDel="00000000" w:rsidP="00000000" w:rsidRDefault="00000000" w:rsidRPr="00000000" w14:paraId="000000B0">
            <w:pPr>
              <w:spacing w:after="0" w:line="240" w:lineRule="auto"/>
              <w:jc w:val="both"/>
              <w:rPr/>
            </w:pPr>
            <w:r w:rsidDel="00000000" w:rsidR="00000000" w:rsidRPr="00000000">
              <w:rPr>
                <w:sz w:val="24"/>
                <w:szCs w:val="24"/>
                <w:rtl w:val="0"/>
              </w:rPr>
              <w:t xml:space="preserve">- Être capable de faire une analyse réflexive de sa propre pratique</w:t>
            </w: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D8">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visées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0">
            <w:pPr>
              <w:spacing w:after="0" w:line="240" w:lineRule="auto"/>
              <w:rPr>
                <w:b w:val="1"/>
                <w:sz w:val="24"/>
                <w:szCs w:val="24"/>
              </w:rPr>
            </w:pPr>
            <w:r w:rsidDel="00000000" w:rsidR="00000000" w:rsidRPr="00000000">
              <w:rPr>
                <w:b w:val="1"/>
                <w:sz w:val="24"/>
                <w:szCs w:val="24"/>
                <w:rtl w:val="0"/>
              </w:rPr>
              <w:t xml:space="preserve">(extrait du référentiel du métier en vigueur) :</w:t>
            </w:r>
          </w:p>
          <w:p w:rsidR="00000000" w:rsidDel="00000000" w:rsidP="00000000" w:rsidRDefault="00000000" w:rsidRPr="00000000" w14:paraId="000000E1">
            <w:pPr>
              <w:numPr>
                <w:ilvl w:val="0"/>
                <w:numId w:val="2"/>
              </w:numPr>
              <w:spacing w:after="0" w:line="240" w:lineRule="auto"/>
              <w:ind w:left="360"/>
              <w:rPr>
                <w:rFonts w:ascii="Calibri" w:cs="Calibri" w:eastAsia="Calibri" w:hAnsi="Calibri"/>
                <w:sz w:val="24"/>
                <w:szCs w:val="24"/>
              </w:rPr>
            </w:pPr>
            <w:r w:rsidDel="00000000" w:rsidR="00000000" w:rsidRPr="00000000">
              <w:rPr>
                <w:sz w:val="24"/>
                <w:szCs w:val="24"/>
                <w:rtl w:val="0"/>
              </w:rPr>
              <w:t xml:space="preserve">Maîtriser les contenus scientifiques et technologiques et avoir une bonne culture générale</w:t>
            </w:r>
          </w:p>
          <w:p w:rsidR="00000000" w:rsidDel="00000000" w:rsidP="00000000" w:rsidRDefault="00000000" w:rsidRPr="00000000" w14:paraId="000000E2">
            <w:pPr>
              <w:numPr>
                <w:ilvl w:val="0"/>
                <w:numId w:val="2"/>
              </w:numPr>
              <w:spacing w:after="0" w:line="240" w:lineRule="auto"/>
              <w:ind w:left="360"/>
              <w:rPr>
                <w:rFonts w:ascii="Calibri" w:cs="Calibri" w:eastAsia="Calibri" w:hAnsi="Calibri"/>
                <w:sz w:val="24"/>
                <w:szCs w:val="24"/>
              </w:rPr>
            </w:pPr>
            <w:r w:rsidDel="00000000" w:rsidR="00000000" w:rsidRPr="00000000">
              <w:rPr>
                <w:sz w:val="24"/>
                <w:szCs w:val="24"/>
                <w:rtl w:val="0"/>
              </w:rPr>
              <w:t xml:space="preserve">Construire, mettre en œuvre et animer des situations d'enseignement et d'apprentissage prenant en compte la diversité des élèves</w:t>
            </w:r>
          </w:p>
          <w:p w:rsidR="00000000" w:rsidDel="00000000" w:rsidP="00000000" w:rsidRDefault="00000000" w:rsidRPr="00000000" w14:paraId="000000E3">
            <w:pPr>
              <w:numPr>
                <w:ilvl w:val="0"/>
                <w:numId w:val="2"/>
              </w:numPr>
              <w:spacing w:after="0" w:line="240" w:lineRule="auto"/>
              <w:ind w:left="360"/>
              <w:rPr>
                <w:rFonts w:ascii="Calibri" w:cs="Calibri" w:eastAsia="Calibri" w:hAnsi="Calibri"/>
                <w:sz w:val="24"/>
                <w:szCs w:val="24"/>
              </w:rPr>
            </w:pPr>
            <w:r w:rsidDel="00000000" w:rsidR="00000000" w:rsidRPr="00000000">
              <w:rPr>
                <w:sz w:val="24"/>
                <w:szCs w:val="24"/>
                <w:rtl w:val="0"/>
              </w:rPr>
              <w:t xml:space="preserve">Organiser et assurer un mode de fonctionnement du groupe favorisant l'apprentissage et la socialisation des élèves Organiser le travail de classe</w:t>
            </w:r>
          </w:p>
          <w:p w:rsidR="00000000" w:rsidDel="00000000" w:rsidP="00000000" w:rsidRDefault="00000000" w:rsidRPr="00000000" w14:paraId="000000E4">
            <w:pPr>
              <w:numPr>
                <w:ilvl w:val="0"/>
                <w:numId w:val="2"/>
              </w:numPr>
              <w:spacing w:after="0" w:line="240" w:lineRule="auto"/>
              <w:ind w:left="360"/>
              <w:rPr>
                <w:rFonts w:ascii="Calibri" w:cs="Calibri" w:eastAsia="Calibri" w:hAnsi="Calibri"/>
                <w:sz w:val="24"/>
                <w:szCs w:val="24"/>
              </w:rPr>
            </w:pPr>
            <w:r w:rsidDel="00000000" w:rsidR="00000000" w:rsidRPr="00000000">
              <w:rPr>
                <w:sz w:val="24"/>
                <w:szCs w:val="24"/>
                <w:rtl w:val="0"/>
              </w:rPr>
              <w:t xml:space="preserve">Etre capable d'identifier les principaux enjeux de l'enseignement des sciences et de la technologie, de maîtriser les savoirs disciplinaires, de concevoir tout ou partie d'une séquence d'enseignement, de construire ses propres outils d'enseignement</w:t>
            </w:r>
          </w:p>
          <w:p w:rsidR="00000000" w:rsidDel="00000000" w:rsidP="00000000" w:rsidRDefault="00000000" w:rsidRPr="00000000" w14:paraId="000000E5">
            <w:pPr>
              <w:numPr>
                <w:ilvl w:val="0"/>
                <w:numId w:val="2"/>
              </w:numPr>
              <w:spacing w:after="0" w:line="240" w:lineRule="auto"/>
              <w:ind w:left="360"/>
              <w:rPr>
                <w:rFonts w:ascii="Calibri" w:cs="Calibri" w:eastAsia="Calibri" w:hAnsi="Calibri"/>
                <w:sz w:val="24"/>
                <w:szCs w:val="24"/>
              </w:rPr>
            </w:pPr>
            <w:r w:rsidDel="00000000" w:rsidR="00000000" w:rsidRPr="00000000">
              <w:rPr>
                <w:sz w:val="24"/>
                <w:szCs w:val="24"/>
                <w:rtl w:val="0"/>
              </w:rPr>
              <w:t xml:space="preserve">Réaliser des expériences, des manipulations, des modèles, des objets technologiques</w:t>
            </w:r>
          </w:p>
          <w:p w:rsidR="00000000" w:rsidDel="00000000" w:rsidP="00000000" w:rsidRDefault="00000000" w:rsidRPr="00000000" w14:paraId="000000E6">
            <w:pPr>
              <w:numPr>
                <w:ilvl w:val="0"/>
                <w:numId w:val="2"/>
              </w:numPr>
              <w:spacing w:after="0" w:line="240" w:lineRule="auto"/>
              <w:ind w:left="360"/>
              <w:rPr>
                <w:rFonts w:ascii="Calibri" w:cs="Calibri" w:eastAsia="Calibri" w:hAnsi="Calibri"/>
                <w:sz w:val="24"/>
                <w:szCs w:val="24"/>
              </w:rPr>
            </w:pPr>
            <w:r w:rsidDel="00000000" w:rsidR="00000000" w:rsidRPr="00000000">
              <w:rPr>
                <w:sz w:val="24"/>
                <w:szCs w:val="24"/>
                <w:rtl w:val="0"/>
              </w:rPr>
              <w:t xml:space="preserve">Maîtriser la langue française pour enseigner et communiquer</w:t>
            </w:r>
          </w:p>
          <w:p w:rsidR="00000000" w:rsidDel="00000000" w:rsidP="00000000" w:rsidRDefault="00000000" w:rsidRPr="00000000" w14:paraId="000000E7">
            <w:pPr>
              <w:numPr>
                <w:ilvl w:val="0"/>
                <w:numId w:val="2"/>
              </w:numPr>
              <w:spacing w:after="0" w:line="240" w:lineRule="auto"/>
              <w:ind w:left="360"/>
              <w:rPr>
                <w:rFonts w:ascii="Calibri" w:cs="Calibri" w:eastAsia="Calibri" w:hAnsi="Calibri"/>
                <w:sz w:val="24"/>
                <w:szCs w:val="24"/>
              </w:rPr>
            </w:pPr>
            <w:r w:rsidDel="00000000" w:rsidR="00000000" w:rsidRPr="00000000">
              <w:rPr>
                <w:sz w:val="24"/>
                <w:szCs w:val="24"/>
                <w:rtl w:val="0"/>
              </w:rPr>
              <w:t xml:space="preserve">Prendre en compte la diversité des élèves</w:t>
            </w:r>
          </w:p>
          <w:p w:rsidR="00000000" w:rsidDel="00000000" w:rsidP="00000000" w:rsidRDefault="00000000" w:rsidRPr="00000000" w14:paraId="000000E8">
            <w:pPr>
              <w:numPr>
                <w:ilvl w:val="0"/>
                <w:numId w:val="2"/>
              </w:numPr>
              <w:spacing w:after="0" w:line="240" w:lineRule="auto"/>
              <w:ind w:left="360"/>
              <w:rPr>
                <w:rFonts w:ascii="Calibri" w:cs="Calibri" w:eastAsia="Calibri" w:hAnsi="Calibri"/>
                <w:sz w:val="24"/>
                <w:szCs w:val="24"/>
              </w:rPr>
            </w:pPr>
            <w:r w:rsidDel="00000000" w:rsidR="00000000" w:rsidRPr="00000000">
              <w:rPr>
                <w:sz w:val="24"/>
                <w:szCs w:val="24"/>
                <w:rtl w:val="0"/>
              </w:rPr>
              <w:t xml:space="preserve">Évaluer les progrès et les acquisitions des élèves</w:t>
            </w:r>
          </w:p>
          <w:p w:rsidR="00000000" w:rsidDel="00000000" w:rsidP="00000000" w:rsidRDefault="00000000" w:rsidRPr="00000000" w14:paraId="000000E9">
            <w:pPr>
              <w:numPr>
                <w:ilvl w:val="0"/>
                <w:numId w:val="2"/>
              </w:numPr>
              <w:spacing w:after="0" w:line="240" w:lineRule="auto"/>
              <w:ind w:left="360"/>
              <w:rPr>
                <w:rFonts w:ascii="Calibri" w:cs="Calibri" w:eastAsia="Calibri" w:hAnsi="Calibri"/>
                <w:sz w:val="24"/>
                <w:szCs w:val="24"/>
              </w:rPr>
            </w:pPr>
            <w:r w:rsidDel="00000000" w:rsidR="00000000" w:rsidRPr="00000000">
              <w:rPr>
                <w:sz w:val="24"/>
                <w:szCs w:val="24"/>
                <w:rtl w:val="0"/>
              </w:rPr>
              <w:t xml:space="preserve">Intégrer les éléments de la culture numérique nécessaires à l'exercice de son métier Maîtriser les technologies de l’information et de la communication</w:t>
            </w:r>
          </w:p>
          <w:p w:rsidR="00000000" w:rsidDel="00000000" w:rsidP="00000000" w:rsidRDefault="00000000" w:rsidRPr="00000000" w14:paraId="000000EA">
            <w:pPr>
              <w:numPr>
                <w:ilvl w:val="0"/>
                <w:numId w:val="2"/>
              </w:numPr>
              <w:spacing w:after="0" w:line="240" w:lineRule="auto"/>
              <w:ind w:left="360"/>
              <w:rPr>
                <w:rFonts w:ascii="Calibri" w:cs="Calibri" w:eastAsia="Calibri" w:hAnsi="Calibri"/>
                <w:sz w:val="24"/>
                <w:szCs w:val="24"/>
              </w:rPr>
            </w:pPr>
            <w:r w:rsidDel="00000000" w:rsidR="00000000" w:rsidRPr="00000000">
              <w:rPr>
                <w:sz w:val="24"/>
                <w:szCs w:val="24"/>
                <w:rtl w:val="0"/>
              </w:rPr>
              <w:t xml:space="preserve">Se former et innover</w:t>
            </w:r>
          </w:p>
          <w:p w:rsidR="00000000" w:rsidDel="00000000" w:rsidP="00000000" w:rsidRDefault="00000000" w:rsidRPr="00000000" w14:paraId="000000EB">
            <w:pPr>
              <w:widowControl w:val="0"/>
              <w:numPr>
                <w:ilvl w:val="0"/>
                <w:numId w:val="2"/>
              </w:numPr>
              <w:spacing w:after="0" w:line="240" w:lineRule="auto"/>
              <w:ind w:left="360"/>
              <w:jc w:val="both"/>
              <w:rPr>
                <w:rFonts w:ascii="Calibri" w:cs="Calibri" w:eastAsia="Calibri" w:hAnsi="Calibri"/>
                <w:sz w:val="24"/>
                <w:szCs w:val="24"/>
              </w:rPr>
            </w:pPr>
            <w:r w:rsidDel="00000000" w:rsidR="00000000" w:rsidRPr="00000000">
              <w:rPr>
                <w:sz w:val="24"/>
                <w:szCs w:val="24"/>
                <w:rtl w:val="0"/>
              </w:rPr>
              <w:t xml:space="preserve">Coopérer au sein d'une équipe</w:t>
            </w:r>
          </w:p>
          <w:p w:rsidR="00000000" w:rsidDel="00000000" w:rsidP="00000000" w:rsidRDefault="00000000" w:rsidRPr="00000000" w14:paraId="000000EC">
            <w:pPr>
              <w:widowControl w:val="0"/>
              <w:numPr>
                <w:ilvl w:val="0"/>
                <w:numId w:val="2"/>
              </w:numPr>
              <w:spacing w:after="0" w:line="240" w:lineRule="auto"/>
              <w:ind w:left="360"/>
              <w:jc w:val="both"/>
              <w:rPr>
                <w:rFonts w:ascii="Calibri" w:cs="Calibri" w:eastAsia="Calibri" w:hAnsi="Calibri"/>
                <w:sz w:val="24"/>
                <w:szCs w:val="24"/>
              </w:rPr>
            </w:pPr>
            <w:r w:rsidDel="00000000" w:rsidR="00000000" w:rsidRPr="00000000">
              <w:rPr>
                <w:sz w:val="24"/>
                <w:szCs w:val="24"/>
                <w:rtl w:val="0"/>
              </w:rPr>
              <w:t xml:space="preserve">S'engager dans une démarche individuelle et collective de développement professionnel</w:t>
            </w: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1C">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300" w:hRule="atLeast"/>
        </w:trPr>
        <w:tc>
          <w:tcPr>
            <w:gridSpan w:val="4"/>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24">
            <w:pPr>
              <w:spacing w:after="0" w:line="240" w:lineRule="auto"/>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ère</w:t>
            </w:r>
            <w:r w:rsidDel="00000000" w:rsidR="00000000" w:rsidRPr="00000000">
              <w:rPr>
                <w:color w:val="000000"/>
                <w:rtl w:val="0"/>
              </w:rPr>
              <w:t xml:space="preserve"> session : </w:t>
            </w:r>
          </w:p>
        </w:tc>
        <w:tc>
          <w:tcPr>
            <w:gridSpan w:val="4"/>
            <w:tcBorders>
              <w:top w:color="000000" w:space="0" w:sz="12" w:val="single"/>
              <w:left w:color="000000" w:space="0" w:sz="0" w:val="nil"/>
              <w:bottom w:color="000000" w:space="0" w:sz="0" w:val="nil"/>
              <w:right w:color="000000" w:space="0" w:sz="12" w:val="single"/>
            </w:tcBorders>
            <w:vAlign w:val="center"/>
          </w:tcPr>
          <w:p w:rsidR="00000000" w:rsidDel="00000000" w:rsidP="00000000" w:rsidRDefault="00000000" w:rsidRPr="00000000" w14:paraId="00000128">
            <w:pPr>
              <w:spacing w:after="0" w:line="240" w:lineRule="auto"/>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ème</w:t>
            </w:r>
            <w:r w:rsidDel="00000000" w:rsidR="00000000" w:rsidRPr="00000000">
              <w:rPr>
                <w:color w:val="000000"/>
                <w:rtl w:val="0"/>
              </w:rPr>
              <w:t xml:space="preserve"> session : </w:t>
            </w:r>
          </w:p>
        </w:tc>
      </w:tr>
      <w:tr>
        <w:trPr>
          <w:trHeight w:val="280" w:hRule="atLeast"/>
        </w:trPr>
        <w:tc>
          <w:tcPr>
            <w:gridSpan w:val="4"/>
            <w:vMerge w:val="restart"/>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C">
            <w:pPr>
              <w:spacing w:after="0" w:line="240" w:lineRule="auto"/>
              <w:rPr/>
            </w:pPr>
            <w:r w:rsidDel="00000000" w:rsidR="00000000" w:rsidRPr="00000000">
              <w:rPr>
                <w:color w:val="000000"/>
                <w:rtl w:val="0"/>
              </w:rPr>
              <w:t xml:space="preserve"> Pas d</w:t>
            </w:r>
            <w:r w:rsidDel="00000000" w:rsidR="00000000" w:rsidRPr="00000000">
              <w:rPr>
                <w:rtl w:val="0"/>
              </w:rPr>
              <w:t xml:space="preserve">’évaluation - évalué dans l’écrit réflexif et/ou dans la pratique de classe</w:t>
            </w:r>
          </w:p>
        </w:tc>
        <w:tc>
          <w:tcPr>
            <w:gridSpan w:val="4"/>
            <w:vMerge w:val="restart"/>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0">
            <w:pPr>
              <w:spacing w:after="0" w:line="240" w:lineRule="auto"/>
              <w:rPr>
                <w:color w:val="000000"/>
              </w:rPr>
            </w:pPr>
            <w:r w:rsidDel="00000000" w:rsidR="00000000" w:rsidRPr="00000000">
              <w:rPr>
                <w:color w:val="000000"/>
                <w:rtl w:val="0"/>
              </w:rPr>
              <w:t xml:space="preserve"> pas </w:t>
            </w:r>
            <w:r w:rsidDel="00000000" w:rsidR="00000000" w:rsidRPr="00000000">
              <w:rPr>
                <w:rtl w:val="0"/>
              </w:rPr>
              <w:t xml:space="preserve">de</w:t>
            </w:r>
            <w:r w:rsidDel="00000000" w:rsidR="00000000" w:rsidRPr="00000000">
              <w:rPr>
                <w:color w:val="000000"/>
                <w:rtl w:val="0"/>
              </w:rPr>
              <w:t xml:space="preserve"> seconde session (DU)</w:t>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6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C">
            <w:pPr>
              <w:spacing w:after="0" w:line="24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E">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54">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2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5C">
            <w:pPr>
              <w:spacing w:after="0" w:line="240" w:lineRule="auto"/>
              <w:rPr/>
            </w:pPr>
            <w:r w:rsidDel="00000000" w:rsidR="00000000" w:rsidRPr="00000000">
              <w:rPr>
                <w:rtl w:val="0"/>
              </w:rPr>
              <w:t xml:space="preserve">Ressources documentaires : </w:t>
            </w:r>
            <w:r w:rsidDel="00000000" w:rsidR="00000000" w:rsidRPr="00000000">
              <w:rPr>
                <w:i w:val="1"/>
                <w:rtl w:val="0"/>
              </w:rPr>
              <w:t xml:space="preserve">5 ouvrages et 3 sites internet maximum</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4">
            <w:pPr>
              <w:jc w:val="both"/>
              <w:rPr>
                <w:sz w:val="24"/>
                <w:szCs w:val="24"/>
              </w:rPr>
            </w:pPr>
            <w:r w:rsidDel="00000000" w:rsidR="00000000" w:rsidRPr="00000000">
              <w:rPr>
                <w:sz w:val="24"/>
                <w:szCs w:val="24"/>
                <w:rtl w:val="0"/>
              </w:rPr>
              <w:t xml:space="preserve">CALMETTES Bernard, CANAL Jean-Loup, </w:t>
            </w:r>
            <w:r w:rsidDel="00000000" w:rsidR="00000000" w:rsidRPr="00000000">
              <w:rPr>
                <w:smallCaps w:val="1"/>
                <w:sz w:val="24"/>
                <w:szCs w:val="24"/>
                <w:rtl w:val="0"/>
              </w:rPr>
              <w:t xml:space="preserve">MARGOTIN-PASSAT</w:t>
            </w:r>
            <w:r w:rsidDel="00000000" w:rsidR="00000000" w:rsidRPr="00000000">
              <w:rPr>
                <w:sz w:val="24"/>
                <w:szCs w:val="24"/>
                <w:rtl w:val="0"/>
              </w:rPr>
              <w:t xml:space="preserve"> Magali, </w:t>
            </w:r>
            <w:r w:rsidDel="00000000" w:rsidR="00000000" w:rsidRPr="00000000">
              <w:rPr>
                <w:smallCaps w:val="1"/>
                <w:sz w:val="24"/>
                <w:szCs w:val="24"/>
                <w:rtl w:val="0"/>
              </w:rPr>
              <w:t xml:space="preserve">PIERRARD</w:t>
            </w:r>
            <w:r w:rsidDel="00000000" w:rsidR="00000000" w:rsidRPr="00000000">
              <w:rPr>
                <w:sz w:val="24"/>
                <w:szCs w:val="24"/>
                <w:rtl w:val="0"/>
              </w:rPr>
              <w:t xml:space="preserve"> Marie-Anne et TAVERNIER</w:t>
            </w:r>
            <w:r w:rsidDel="00000000" w:rsidR="00000000" w:rsidRPr="00000000">
              <w:rPr>
                <w:smallCaps w:val="1"/>
                <w:sz w:val="24"/>
                <w:szCs w:val="24"/>
                <w:rtl w:val="0"/>
              </w:rPr>
              <w:t xml:space="preserve"> </w:t>
            </w:r>
            <w:r w:rsidDel="00000000" w:rsidR="00000000" w:rsidRPr="00000000">
              <w:rPr>
                <w:sz w:val="24"/>
                <w:szCs w:val="24"/>
                <w:rtl w:val="0"/>
              </w:rPr>
              <w:t xml:space="preserve">Raymond. </w:t>
            </w:r>
            <w:r w:rsidDel="00000000" w:rsidR="00000000" w:rsidRPr="00000000">
              <w:rPr>
                <w:i w:val="1"/>
                <w:sz w:val="24"/>
                <w:szCs w:val="24"/>
                <w:rtl w:val="0"/>
              </w:rPr>
              <w:t xml:space="preserve">Enseigner les sciences expérimentales à l'école élémentaire. </w:t>
            </w:r>
            <w:r w:rsidDel="00000000" w:rsidR="00000000" w:rsidRPr="00000000">
              <w:rPr>
                <w:sz w:val="24"/>
                <w:szCs w:val="24"/>
                <w:rtl w:val="0"/>
              </w:rPr>
              <w:t xml:space="preserve">Bordas, 2009.</w:t>
            </w:r>
          </w:p>
          <w:p w:rsidR="00000000" w:rsidDel="00000000" w:rsidP="00000000" w:rsidRDefault="00000000" w:rsidRPr="00000000" w14:paraId="00000165">
            <w:pPr>
              <w:spacing w:after="0" w:line="240" w:lineRule="auto"/>
              <w:rPr>
                <w:sz w:val="24"/>
                <w:szCs w:val="24"/>
              </w:rPr>
            </w:pPr>
            <w:r w:rsidDel="00000000" w:rsidR="00000000" w:rsidRPr="00000000">
              <w:rPr>
                <w:sz w:val="24"/>
                <w:szCs w:val="24"/>
                <w:rtl w:val="0"/>
              </w:rPr>
              <w:t xml:space="preserve">LAMARQUE Jeanne et TAVERNIER Raymond</w:t>
            </w:r>
            <w:r w:rsidDel="00000000" w:rsidR="00000000" w:rsidRPr="00000000">
              <w:rPr>
                <w:i w:val="1"/>
                <w:sz w:val="24"/>
                <w:szCs w:val="24"/>
                <w:rtl w:val="0"/>
              </w:rPr>
              <w:t xml:space="preserve">. La découverte du monde vivant. </w:t>
            </w:r>
            <w:r w:rsidDel="00000000" w:rsidR="00000000" w:rsidRPr="00000000">
              <w:rPr>
                <w:sz w:val="24"/>
                <w:szCs w:val="24"/>
                <w:rtl w:val="0"/>
              </w:rPr>
              <w:t xml:space="preserve">Bordas, 2002. </w:t>
            </w:r>
          </w:p>
          <w:p w:rsidR="00000000" w:rsidDel="00000000" w:rsidP="00000000" w:rsidRDefault="00000000" w:rsidRPr="00000000" w14:paraId="00000166">
            <w:pPr>
              <w:jc w:val="both"/>
              <w:rPr>
                <w:sz w:val="24"/>
                <w:szCs w:val="24"/>
              </w:rPr>
            </w:pPr>
            <w:r w:rsidDel="00000000" w:rsidR="00000000" w:rsidRPr="00000000">
              <w:rPr>
                <w:sz w:val="24"/>
                <w:szCs w:val="24"/>
                <w:rtl w:val="0"/>
              </w:rPr>
              <w:t xml:space="preserve">ASTOLFI Jean Pierre, PETERFALVI Brigitte et VERIN Anne.</w:t>
            </w:r>
            <w:r w:rsidDel="00000000" w:rsidR="00000000" w:rsidRPr="00000000">
              <w:rPr>
                <w:i w:val="1"/>
                <w:sz w:val="24"/>
                <w:szCs w:val="24"/>
                <w:rtl w:val="0"/>
              </w:rPr>
              <w:t xml:space="preserve">  Comment les enfants apprennent les sciences. </w:t>
            </w:r>
            <w:r w:rsidDel="00000000" w:rsidR="00000000" w:rsidRPr="00000000">
              <w:rPr>
                <w:sz w:val="24"/>
                <w:szCs w:val="24"/>
                <w:rtl w:val="0"/>
              </w:rPr>
              <w:t xml:space="preserve">Retz, 1998.</w:t>
            </w:r>
          </w:p>
          <w:p w:rsidR="00000000" w:rsidDel="00000000" w:rsidP="00000000" w:rsidRDefault="00000000" w:rsidRPr="00000000" w14:paraId="00000167">
            <w:pPr>
              <w:jc w:val="both"/>
              <w:rPr>
                <w:sz w:val="24"/>
                <w:szCs w:val="24"/>
              </w:rPr>
            </w:pPr>
            <w:r w:rsidDel="00000000" w:rsidR="00000000" w:rsidRPr="00000000">
              <w:rPr>
                <w:sz w:val="24"/>
                <w:szCs w:val="24"/>
                <w:rtl w:val="0"/>
              </w:rPr>
              <w:t xml:space="preserve">DE VECCHI Gérard. </w:t>
            </w:r>
            <w:r w:rsidDel="00000000" w:rsidR="00000000" w:rsidRPr="00000000">
              <w:rPr>
                <w:i w:val="1"/>
                <w:sz w:val="24"/>
                <w:szCs w:val="24"/>
                <w:rtl w:val="0"/>
              </w:rPr>
              <w:t xml:space="preserve">Une banque de situations-problèmes. Tome 1.</w:t>
            </w:r>
            <w:r w:rsidDel="00000000" w:rsidR="00000000" w:rsidRPr="00000000">
              <w:rPr>
                <w:sz w:val="24"/>
                <w:szCs w:val="24"/>
                <w:rtl w:val="0"/>
              </w:rPr>
              <w:t xml:space="preserve"> Hachette éducation, 2007.</w:t>
            </w:r>
          </w:p>
          <w:p w:rsidR="00000000" w:rsidDel="00000000" w:rsidP="00000000" w:rsidRDefault="00000000" w:rsidRPr="00000000" w14:paraId="00000168">
            <w:pPr>
              <w:spacing w:after="120" w:lineRule="auto"/>
              <w:rPr>
                <w:sz w:val="24"/>
                <w:szCs w:val="24"/>
              </w:rPr>
            </w:pPr>
            <w:r w:rsidDel="00000000" w:rsidR="00000000" w:rsidRPr="00000000">
              <w:rPr>
                <w:sz w:val="24"/>
                <w:szCs w:val="24"/>
                <w:rtl w:val="0"/>
              </w:rPr>
              <w:t xml:space="preserve">BRARE Marylène et DEMARCY Denis.</w:t>
            </w:r>
            <w:r w:rsidDel="00000000" w:rsidR="00000000" w:rsidRPr="00000000">
              <w:rPr>
                <w:i w:val="1"/>
                <w:sz w:val="24"/>
                <w:szCs w:val="24"/>
                <w:rtl w:val="0"/>
              </w:rPr>
              <w:t xml:space="preserve"> Ecrire en sciences. Carnet d’observations, cahier d’expériences.  Collection Repères pour agir 1</w:t>
            </w:r>
            <w:r w:rsidDel="00000000" w:rsidR="00000000" w:rsidRPr="00000000">
              <w:rPr>
                <w:i w:val="1"/>
                <w:sz w:val="24"/>
                <w:szCs w:val="24"/>
                <w:vertAlign w:val="superscript"/>
                <w:rtl w:val="0"/>
              </w:rPr>
              <w:t xml:space="preserve">er</w:t>
            </w:r>
            <w:r w:rsidDel="00000000" w:rsidR="00000000" w:rsidRPr="00000000">
              <w:rPr>
                <w:i w:val="1"/>
                <w:sz w:val="24"/>
                <w:szCs w:val="24"/>
                <w:rtl w:val="0"/>
              </w:rPr>
              <w:t xml:space="preserve"> degré</w:t>
            </w:r>
            <w:r w:rsidDel="00000000" w:rsidR="00000000" w:rsidRPr="00000000">
              <w:rPr>
                <w:b w:val="1"/>
                <w:sz w:val="24"/>
                <w:szCs w:val="24"/>
                <w:rtl w:val="0"/>
              </w:rPr>
              <w:t xml:space="preserve">,</w:t>
            </w:r>
            <w:r w:rsidDel="00000000" w:rsidR="00000000" w:rsidRPr="00000000">
              <w:rPr>
                <w:sz w:val="24"/>
                <w:szCs w:val="24"/>
                <w:rtl w:val="0"/>
              </w:rPr>
              <w:t xml:space="preserve"> Académie d’Amiens : CRDP, 2009. </w:t>
            </w:r>
          </w:p>
          <w:p w:rsidR="00000000" w:rsidDel="00000000" w:rsidP="00000000" w:rsidRDefault="00000000" w:rsidRPr="00000000" w14:paraId="00000169">
            <w:pPr>
              <w:jc w:val="both"/>
              <w:rPr>
                <w:sz w:val="24"/>
                <w:szCs w:val="24"/>
              </w:rPr>
            </w:pPr>
            <w:r w:rsidDel="00000000" w:rsidR="00000000" w:rsidRPr="00000000">
              <w:rPr>
                <w:b w:val="1"/>
                <w:sz w:val="24"/>
                <w:szCs w:val="24"/>
                <w:rtl w:val="0"/>
              </w:rPr>
              <w:t xml:space="preserve">Sites</w:t>
            </w:r>
            <w:r w:rsidDel="00000000" w:rsidR="00000000" w:rsidRPr="00000000">
              <w:rPr>
                <w:sz w:val="24"/>
                <w:szCs w:val="24"/>
                <w:rtl w:val="0"/>
              </w:rPr>
              <w:t xml:space="preserve"> : </w:t>
            </w:r>
          </w:p>
          <w:p w:rsidR="00000000" w:rsidDel="00000000" w:rsidP="00000000" w:rsidRDefault="00000000" w:rsidRPr="00000000" w14:paraId="0000016A">
            <w:pPr>
              <w:jc w:val="both"/>
              <w:rPr>
                <w:sz w:val="24"/>
                <w:szCs w:val="24"/>
              </w:rPr>
            </w:pPr>
            <w:r w:rsidDel="00000000" w:rsidR="00000000" w:rsidRPr="00000000">
              <w:rPr>
                <w:sz w:val="24"/>
                <w:szCs w:val="24"/>
                <w:rtl w:val="0"/>
              </w:rPr>
              <w:t xml:space="preserve">Ressources pour l’enseignant du 1</w:t>
            </w:r>
            <w:r w:rsidDel="00000000" w:rsidR="00000000" w:rsidRPr="00000000">
              <w:rPr>
                <w:sz w:val="24"/>
                <w:szCs w:val="24"/>
                <w:vertAlign w:val="superscript"/>
                <w:rtl w:val="0"/>
              </w:rPr>
              <w:t xml:space="preserve">er</w:t>
            </w:r>
            <w:r w:rsidDel="00000000" w:rsidR="00000000" w:rsidRPr="00000000">
              <w:rPr>
                <w:sz w:val="24"/>
                <w:szCs w:val="24"/>
                <w:rtl w:val="0"/>
              </w:rPr>
              <w:t xml:space="preserve"> degré concernant les Sciences et la technologie. Disponible sur Internet :</w:t>
            </w:r>
          </w:p>
          <w:p w:rsidR="00000000" w:rsidDel="00000000" w:rsidP="00000000" w:rsidRDefault="00000000" w:rsidRPr="00000000" w14:paraId="0000016B">
            <w:pPr>
              <w:jc w:val="both"/>
              <w:rPr>
                <w:sz w:val="24"/>
                <w:szCs w:val="24"/>
              </w:rPr>
            </w:pPr>
            <w:r w:rsidDel="00000000" w:rsidR="00000000" w:rsidRPr="00000000">
              <w:rPr>
                <w:sz w:val="24"/>
                <w:szCs w:val="24"/>
                <w:rtl w:val="0"/>
              </w:rPr>
              <w:t xml:space="preserve">Cycle 1 : </w:t>
            </w:r>
            <w:hyperlink r:id="rId8">
              <w:r w:rsidDel="00000000" w:rsidR="00000000" w:rsidRPr="00000000">
                <w:rPr>
                  <w:color w:val="1155cc"/>
                  <w:sz w:val="24"/>
                  <w:szCs w:val="24"/>
                  <w:u w:val="single"/>
                  <w:rtl w:val="0"/>
                </w:rPr>
                <w:t xml:space="preserve">https://eduscol.education.fr/cid91997/explorer-le-monde-du-vivant-des-objets-et-de-la-matiere.html</w:t>
              </w:r>
            </w:hyperlink>
            <w:r w:rsidDel="00000000" w:rsidR="00000000" w:rsidRPr="00000000">
              <w:rPr>
                <w:rtl w:val="0"/>
              </w:rPr>
            </w:r>
          </w:p>
          <w:p w:rsidR="00000000" w:rsidDel="00000000" w:rsidP="00000000" w:rsidRDefault="00000000" w:rsidRPr="00000000" w14:paraId="0000016C">
            <w:pPr>
              <w:jc w:val="both"/>
              <w:rPr>
                <w:sz w:val="24"/>
                <w:szCs w:val="24"/>
              </w:rPr>
            </w:pPr>
            <w:r w:rsidDel="00000000" w:rsidR="00000000" w:rsidRPr="00000000">
              <w:rPr>
                <w:sz w:val="24"/>
                <w:szCs w:val="24"/>
                <w:rtl w:val="0"/>
              </w:rPr>
              <w:t xml:space="preserve">Cycle 2 : </w:t>
            </w:r>
            <w:hyperlink r:id="rId9">
              <w:r w:rsidDel="00000000" w:rsidR="00000000" w:rsidRPr="00000000">
                <w:rPr>
                  <w:color w:val="1155cc"/>
                  <w:sz w:val="24"/>
                  <w:szCs w:val="24"/>
                  <w:u w:val="single"/>
                  <w:rtl w:val="0"/>
                </w:rPr>
                <w:t xml:space="preserve">https://eduscol.education.fr/pid34155/questionner-le-monde.html</w:t>
              </w:r>
            </w:hyperlink>
            <w:r w:rsidDel="00000000" w:rsidR="00000000" w:rsidRPr="00000000">
              <w:rPr>
                <w:rtl w:val="0"/>
              </w:rPr>
            </w:r>
          </w:p>
          <w:p w:rsidR="00000000" w:rsidDel="00000000" w:rsidP="00000000" w:rsidRDefault="00000000" w:rsidRPr="00000000" w14:paraId="0000016D">
            <w:pPr>
              <w:jc w:val="both"/>
              <w:rPr>
                <w:sz w:val="24"/>
                <w:szCs w:val="24"/>
              </w:rPr>
            </w:pPr>
            <w:r w:rsidDel="00000000" w:rsidR="00000000" w:rsidRPr="00000000">
              <w:rPr>
                <w:sz w:val="24"/>
                <w:szCs w:val="24"/>
                <w:rtl w:val="0"/>
              </w:rPr>
              <w:t xml:space="preserve">Cycle 3 : </w:t>
            </w:r>
            <w:hyperlink r:id="rId10">
              <w:r w:rsidDel="00000000" w:rsidR="00000000" w:rsidRPr="00000000">
                <w:rPr>
                  <w:color w:val="1155cc"/>
                  <w:sz w:val="24"/>
                  <w:szCs w:val="24"/>
                  <w:u w:val="single"/>
                  <w:rtl w:val="0"/>
                </w:rPr>
                <w:t xml:space="preserve">https://eduscol.education.fr/pid34183/sciences-et-technologie.html</w:t>
              </w:r>
            </w:hyperlink>
            <w:r w:rsidDel="00000000" w:rsidR="00000000" w:rsidRPr="00000000">
              <w:rPr>
                <w:rtl w:val="0"/>
              </w:rPr>
            </w:r>
          </w:p>
          <w:p w:rsidR="00000000" w:rsidDel="00000000" w:rsidP="00000000" w:rsidRDefault="00000000" w:rsidRPr="00000000" w14:paraId="0000016E">
            <w:pPr>
              <w:rPr>
                <w:sz w:val="24"/>
                <w:szCs w:val="24"/>
              </w:rPr>
            </w:pPr>
            <w:r w:rsidDel="00000000" w:rsidR="00000000" w:rsidRPr="00000000">
              <w:rPr>
                <w:sz w:val="24"/>
                <w:szCs w:val="24"/>
                <w:rtl w:val="0"/>
              </w:rPr>
              <w:t xml:space="preserve">DVD "Apprendre la science et la technologie à l'école". Disponible sur Internet : </w:t>
            </w:r>
            <w:hyperlink r:id="rId11">
              <w:r w:rsidDel="00000000" w:rsidR="00000000" w:rsidRPr="00000000">
                <w:rPr>
                  <w:color w:val="0000ff"/>
                  <w:sz w:val="24"/>
                  <w:szCs w:val="24"/>
                  <w:u w:val="single"/>
                  <w:rtl w:val="0"/>
                </w:rPr>
                <w:t xml:space="preserve">http://eduscol.education.fr/pid26573/webtv.html?mode_player=1&amp;theme=245&amp;video=222316#webtv_titre</w:t>
              </w:r>
            </w:hyperlink>
            <w:r w:rsidDel="00000000" w:rsidR="00000000" w:rsidRPr="00000000">
              <w:rPr>
                <w:sz w:val="24"/>
                <w:szCs w:val="24"/>
                <w:rtl w:val="0"/>
              </w:rPr>
              <w:t xml:space="preserve"> (consulté le 16 juin 2018).</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196">
      <w:pPr>
        <w:rPr/>
      </w:pPr>
      <w:r w:rsidDel="00000000" w:rsidR="00000000" w:rsidRPr="00000000">
        <w:rPr>
          <w:rtl w:val="0"/>
        </w:rPr>
      </w:r>
    </w:p>
    <w:sectPr>
      <w:headerReference r:id="rId12"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w:t>
    </w:r>
    <w:r w:rsidDel="00000000" w:rsidR="00000000" w:rsidRPr="00000000">
      <w:rPr>
        <w:b w:val="1"/>
        <w:rtl w:val="0"/>
      </w:rPr>
      <w:t xml:space="preserve">DU2PES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eduscol.education.fr/pid26573/webtv.html?mode_player=1&amp;theme=245&amp;video=222316#webtv_titre" TargetMode="External"/><Relationship Id="rId10" Type="http://schemas.openxmlformats.org/officeDocument/2006/relationships/hyperlink" Target="https://eduscol.education.fr/pid34183/sciences-et-technologie.html" TargetMode="External"/><Relationship Id="rId12" Type="http://schemas.openxmlformats.org/officeDocument/2006/relationships/header" Target="header1.xml"/><Relationship Id="rId9" Type="http://schemas.openxmlformats.org/officeDocument/2006/relationships/hyperlink" Target="https://eduscol.education.fr/pid34155/questionner-le-monde.html" TargetMode="External"/><Relationship Id="rId5" Type="http://schemas.openxmlformats.org/officeDocument/2006/relationships/styles" Target="styles.xml"/><Relationship Id="rId6" Type="http://schemas.openxmlformats.org/officeDocument/2006/relationships/hyperlink" Target="mailto:sandrine.marvilliers@univ-reunion.fr" TargetMode="External"/><Relationship Id="rId7" Type="http://schemas.openxmlformats.org/officeDocument/2006/relationships/hyperlink" Target="mailto:sandrine.marvilliers@univ-reunion.fr" TargetMode="External"/><Relationship Id="rId8" Type="http://schemas.openxmlformats.org/officeDocument/2006/relationships/hyperlink" Target="https://eduscol.education.fr/cid91997/explorer-le-monde-du-vivant-des-objets-et-de-la-matier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