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autour de l’école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enjeux spécifiques EBP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70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 12 heures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0 h CM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h TD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0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De quoi s’agit-il 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Connaitre le prescrit (loi du 11 février 2005, dossier « quel plan pour qui »)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Connaitre les différents types de dys, les troubles de l’attention/hyperactivité, les troubles du spectre autistique, la précocité et les élèves allophones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Connaitre les manifestations de ces troubles dans les apprentissages en classe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Connaitre les personnes ressources de l’école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Connaitre les aménagements pédagogiques possibles en classe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Quelles intentions 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Amener des apports théoriques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Lire le réel à partir d’analyse de situations vécues par les fonctionnaires stagiaires, de productions d’élèves, de vidéos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questionner sur la posture à adopter auprès de ces élèves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Adapter son enseignement aux élèves à besoins éducatifs particuliers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Assurer la continuité des parcours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Orienter et prévenir le décrochage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Savoir identifier les difficultés des élèves à besoins éducatifs particuliers dans les situations d’apprentissage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Mettre en œuvre les aménagements pédagogiques possibles en classe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Adapter sa posture en fonction de la diversité des élèves 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both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Référentiel de compétences communes à tous les professeurs et personnels d’éducation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 Prendre en compte la diversité des élèves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 Accompagner les élèves dans leur parcours de formation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P3- Construire, mettre en œuvre et animer des situations d’enseignement et d’apprentissage prenant en compte la diversité des élèves : Différencier son enseignement en fonction des rythmes d’apprentissage et des besoins de chacun. Adapter son enseignement aux élèves à besoins éducatifs particuliers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Session unique : </w:t>
            </w:r>
          </w:p>
        </w:tc>
      </w:tr>
      <w:tr>
        <w:trPr>
          <w:trHeight w:val="4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Pas d’évaluation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8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pStyle w:val="Heading1"/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color w:val="32322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2322f"/>
                <w:sz w:val="20"/>
                <w:szCs w:val="20"/>
                <w:rtl w:val="0"/>
              </w:rPr>
              <w:t xml:space="preserve">Gérer les élèves à besoins spécifiques : un nouveau défi pour l'École. Tome 1. Des difficultés d'apprentissage aux "dys" -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2322f"/>
                <w:sz w:val="20"/>
                <w:szCs w:val="20"/>
                <w:rtl w:val="0"/>
              </w:rPr>
              <w:t xml:space="preserve">Geneviève Vandecasteele, De Boeck - 2017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Style w:val="Heading1"/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color w:val="32322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2322f"/>
                <w:sz w:val="20"/>
                <w:szCs w:val="20"/>
                <w:rtl w:val="0"/>
              </w:rPr>
              <w:t xml:space="preserve">Enfant hyperactif, inattentif ? : faire FACE au 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DAH </w:t>
            </w:r>
            <w:r w:rsidDel="00000000" w:rsidR="00000000" w:rsidRPr="00000000">
              <w:rPr>
                <w:rFonts w:ascii="Arial" w:cs="Arial" w:eastAsia="Arial" w:hAnsi="Arial"/>
                <w:color w:val="32322f"/>
                <w:sz w:val="20"/>
                <w:szCs w:val="20"/>
                <w:rtl w:val="0"/>
              </w:rPr>
              <w:t xml:space="preserve">en famille et à l'école -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2322f"/>
                <w:sz w:val="20"/>
                <w:szCs w:val="20"/>
                <w:rtl w:val="0"/>
              </w:rPr>
              <w:t xml:space="preserve">Smadar Celestin-Westreich ; Léon-Patrice Celestin - de Boeck - 2014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Style w:val="Heading1"/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color w:val="32322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2322f"/>
                <w:sz w:val="20"/>
                <w:szCs w:val="20"/>
                <w:rtl w:val="0"/>
              </w:rPr>
              <w:t xml:space="preserve">L'autisme au quotidien-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2322f"/>
                <w:sz w:val="20"/>
                <w:szCs w:val="20"/>
                <w:rtl w:val="0"/>
              </w:rPr>
              <w:t xml:space="preserve">Catherine Milcent - Odile Jacob - 2017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Style w:val="Heading1"/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color w:val="32322f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32322f"/>
                <w:sz w:val="20"/>
                <w:szCs w:val="20"/>
                <w:rtl w:val="0"/>
              </w:rPr>
              <w:t xml:space="preserve">100 idées pour accompagner les enfants à haut potentiel : changeons notre regard sur ces enfants à besoins spécifiques afin de favoriser leur épanouissement-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2322f"/>
                <w:sz w:val="20"/>
                <w:szCs w:val="20"/>
                <w:rtl w:val="0"/>
              </w:rPr>
              <w:t xml:space="preserve">Doris Perrodin-Carlen ; Roberta Poulin ; Olivier Revol - Tom Pousse - 2015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2322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2322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2322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2322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DU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