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…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 Analyse de man</w:t>
            </w:r>
            <w:r w:rsidDel="00000000" w:rsidR="00000000" w:rsidRPr="00000000">
              <w:rPr>
                <w:rtl w:val="0"/>
              </w:rPr>
              <w:t xml:space="preserve">uels de lecture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color w:val="000000"/>
                <w:rtl w:val="0"/>
              </w:rPr>
              <w:t xml:space="preserve">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Anne Février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anne.fevrier@univ-reunion.fr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Chantal Leleu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chantal.lel</w:t>
            </w:r>
            <w:r w:rsidDel="00000000" w:rsidR="00000000" w:rsidRPr="00000000">
              <w:rPr>
                <w:rtl w:val="0"/>
              </w:rPr>
              <w:t xml:space="preserve">eu@univ-reunion.fr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Rappel des composantes de l’apprentissage de la lecture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Découvrir et connaître les ressources pour l’apprentissage des fondamentaux en lecture et écriture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240" w:line="240" w:lineRule="auto"/>
              <w:ind w:left="720" w:hanging="360"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Analyser et comparer les manuels de lecture : comparer les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démarches pédagogiques progressives et      structurées propres à chaque manuel (progression, rythme d’apprentissage, activités, textes…)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Maîtriser les savoirs fondamentaux à l’apprentissage de la lecture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Développer  une  culture professionnelle autour du manuel de lecture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Connaitre les ressources d'accompagnement du nouveau programme de cycle 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Etre capable d’identifier si les principes qui font consensus sur l’apprentissage de la lecture sont présents dans un manuel de lecture.</w:t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Etre capable de choisir un manuel de lecture qui répond au mieux à l’enseignement le plus efficace de la lecture.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 w:rsidDel="00000000" w:rsidR="00000000" w:rsidRPr="00000000">
              <w:rPr>
                <w:rtl w:val="0"/>
              </w:rPr>
              <w:t xml:space="preserve">Comprendre l’importance de construire collectivement (équipe pédagogique de l’école)  un parcours de lecteur cohérent et progressif durant la scolarité de l’élève.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Session unique 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Présentation d’une analyse comparative de 4 manuels de lecture, par groupe de 4/5 étudiants/stagiaires. 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1">
            <w:pPr>
              <w:spacing w:after="0" w:line="276" w:lineRule="auto"/>
              <w:ind w:left="36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La lecture : apprentissage et difficultés</w:t>
            </w:r>
            <w:r w:rsidDel="00000000" w:rsidR="00000000" w:rsidRPr="00000000">
              <w:rPr>
                <w:rtl w:val="0"/>
              </w:rPr>
              <w:t xml:space="preserve"> de Jocelyne Giasson, Geneviève Vandecasteele, Edition : De Boeck Education, 2012</w:t>
            </w:r>
          </w:p>
          <w:p w:rsidR="00000000" w:rsidDel="00000000" w:rsidP="00000000" w:rsidRDefault="00000000" w:rsidRPr="00000000" w14:paraId="00000142">
            <w:pPr>
              <w:spacing w:after="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rtl w:val="0"/>
              </w:rPr>
              <w:t xml:space="preserve">Apprendre à lire : Des sciences cognitives à la salle de classe</w:t>
            </w:r>
            <w:r w:rsidDel="00000000" w:rsidR="00000000" w:rsidRPr="00000000">
              <w:rPr>
                <w:rtl w:val="0"/>
              </w:rPr>
              <w:t xml:space="preserve"> de Stanislas Dehaene, Ed Odile Jacob, 2011</w:t>
            </w:r>
          </w:p>
          <w:p w:rsidR="00000000" w:rsidDel="00000000" w:rsidP="00000000" w:rsidRDefault="00000000" w:rsidRPr="00000000" w14:paraId="00000143">
            <w:pPr>
              <w:spacing w:after="0" w:before="24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rtl w:val="0"/>
              </w:rPr>
              <w:t xml:space="preserve">L’enseignement de la lecture et l’observation des manuels de lecture du CP</w:t>
            </w:r>
            <w:r w:rsidDel="00000000" w:rsidR="00000000" w:rsidRPr="00000000">
              <w:rPr>
                <w:rtl w:val="0"/>
              </w:rPr>
              <w:t xml:space="preserve">, Rapport de l’Observatoire National de la lecture,  Mars 2007</w:t>
            </w:r>
          </w:p>
          <w:p w:rsidR="00000000" w:rsidDel="00000000" w:rsidP="00000000" w:rsidRDefault="00000000" w:rsidRPr="00000000" w14:paraId="00000144">
            <w:pPr>
              <w:spacing w:after="0" w:before="240" w:line="276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  <w:t xml:space="preserve">Site Eduscol 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http://eduscol.education.fr/cid117919/100-de-reussite-en-cp.html</w:t>
              </w:r>
            </w:hyperlink>
            <w:r w:rsidDel="00000000" w:rsidR="00000000" w:rsidRPr="00000000">
              <w:rPr>
                <w:rtl w:val="0"/>
              </w:rPr>
              <w:t xml:space="preserve"> ;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https://eduscol.education.fr/cid129436/pour-enseigner-la-lecture-et-l-ecriture-au-cp.html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DU2PES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duscol.education.fr/cid117919/100-de-reussite-en-cp.html" TargetMode="External"/><Relationship Id="rId7" Type="http://schemas.openxmlformats.org/officeDocument/2006/relationships/hyperlink" Target="https://eduscol.education.fr/cid129436/pour-enseigner-la-lecture-et-l-ecriture-au-cp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