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3.0" w:type="dxa"/>
        <w:jc w:val="left"/>
        <w:tblInd w:w="60.0" w:type="dxa"/>
        <w:tblLayout w:type="fixed"/>
        <w:tblLook w:val="0000"/>
      </w:tblPr>
      <w:tblGrid>
        <w:gridCol w:w="1768"/>
        <w:gridCol w:w="1155"/>
        <w:gridCol w:w="1353"/>
        <w:gridCol w:w="1358"/>
        <w:gridCol w:w="1353"/>
        <w:gridCol w:w="1357"/>
        <w:gridCol w:w="1353"/>
        <w:gridCol w:w="1356"/>
        <w:tblGridChange w:id="0">
          <w:tblGrid>
            <w:gridCol w:w="1768"/>
            <w:gridCol w:w="1155"/>
            <w:gridCol w:w="1353"/>
            <w:gridCol w:w="1358"/>
            <w:gridCol w:w="1353"/>
            <w:gridCol w:w="1357"/>
            <w:gridCol w:w="1353"/>
            <w:gridCol w:w="1356"/>
          </w:tblGrid>
        </w:tblGridChange>
      </w:tblGrid>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0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IDENTIFICATION DU COURS : UE « MISE EN PRATIQUE »</w:t>
            </w:r>
          </w:p>
        </w:tc>
      </w:tr>
      <w:tr>
        <w:trPr>
          <w:trHeight w:val="300" w:hRule="atLeast"/>
        </w:trPr>
        <w:tc>
          <w:tcPr>
            <w:gridSpan w:val="6"/>
            <w:tcBorders>
              <w:top w:color="000000" w:space="0" w:sz="12"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00A">
            <w:pPr>
              <w:spacing w:after="0" w:line="240" w:lineRule="auto"/>
              <w:rPr>
                <w:color w:val="000000"/>
              </w:rPr>
            </w:pPr>
            <w:r w:rsidDel="00000000" w:rsidR="00000000" w:rsidRPr="00000000">
              <w:rPr>
                <w:color w:val="000000"/>
                <w:rtl w:val="0"/>
              </w:rPr>
              <w:t xml:space="preserve">Intitulé : Mise en pratique pédagogique : apprendre à rédiger des écrits professionnels</w:t>
            </w:r>
          </w:p>
        </w:tc>
        <w:tc>
          <w:tcPr>
            <w:gridSpan w:val="2"/>
            <w:tcBorders>
              <w:top w:color="000000" w:space="0" w:sz="12"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10">
            <w:pPr>
              <w:spacing w:after="0" w:line="240" w:lineRule="auto"/>
              <w:rPr>
                <w:color w:val="000000"/>
              </w:rPr>
            </w:pPr>
            <w:r w:rsidDel="00000000" w:rsidR="00000000" w:rsidRPr="00000000">
              <w:rPr>
                <w:color w:val="000000"/>
                <w:rtl w:val="0"/>
              </w:rPr>
              <w:t xml:space="preserve">Code : XNZMMP</w:t>
            </w:r>
          </w:p>
        </w:tc>
      </w:tr>
      <w:tr>
        <w:trPr>
          <w:trHeight w:val="280" w:hRule="atLeast"/>
        </w:trPr>
        <w:tc>
          <w:tcPr>
            <w:gridSpan w:val="2"/>
            <w:tcBorders>
              <w:top w:color="000000" w:space="0" w:sz="12"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012">
            <w:pPr>
              <w:spacing w:after="0" w:line="240" w:lineRule="auto"/>
              <w:rPr>
                <w:color w:val="000000"/>
              </w:rPr>
            </w:pPr>
            <w:r w:rsidDel="00000000" w:rsidR="00000000" w:rsidRPr="00000000">
              <w:rPr>
                <w:color w:val="000000"/>
                <w:rtl w:val="0"/>
              </w:rPr>
              <w:t xml:space="preserve">Volume horaire :</w:t>
            </w:r>
          </w:p>
        </w:tc>
        <w:tc>
          <w:tcPr>
            <w:tcBorders>
              <w:top w:color="000000" w:space="0" w:sz="12" w:val="single"/>
              <w:left w:color="000000" w:space="0" w:sz="0" w:val="nil"/>
              <w:bottom w:color="000000" w:space="0" w:sz="12" w:val="single"/>
              <w:right w:color="000000" w:space="0" w:sz="4" w:val="single"/>
            </w:tcBorders>
            <w:vAlign w:val="center"/>
          </w:tcPr>
          <w:p w:rsidR="00000000" w:rsidDel="00000000" w:rsidP="00000000" w:rsidRDefault="00000000" w:rsidRPr="00000000" w14:paraId="00000014">
            <w:pPr>
              <w:spacing w:after="0" w:line="240" w:lineRule="auto"/>
              <w:jc w:val="right"/>
              <w:rPr>
                <w:color w:val="000000"/>
              </w:rPr>
            </w:pPr>
            <w:r w:rsidDel="00000000" w:rsidR="00000000" w:rsidRPr="00000000">
              <w:rPr>
                <w:color w:val="000000"/>
                <w:rtl w:val="0"/>
              </w:rPr>
              <w:t xml:space="preserve">…..h CM</w:t>
            </w:r>
          </w:p>
        </w:tc>
        <w:tc>
          <w:tcPr>
            <w:tcBorders>
              <w:top w:color="000000" w:space="0" w:sz="12" w:val="single"/>
              <w:left w:color="000000" w:space="0" w:sz="0" w:val="nil"/>
              <w:bottom w:color="000000" w:space="0" w:sz="12" w:val="single"/>
              <w:right w:color="000000" w:space="0" w:sz="4" w:val="single"/>
            </w:tcBorders>
            <w:vAlign w:val="center"/>
          </w:tcPr>
          <w:p w:rsidR="00000000" w:rsidDel="00000000" w:rsidP="00000000" w:rsidRDefault="00000000" w:rsidRPr="00000000" w14:paraId="00000015">
            <w:pPr>
              <w:spacing w:after="0" w:line="240" w:lineRule="auto"/>
              <w:jc w:val="center"/>
              <w:rPr>
                <w:color w:val="000000"/>
              </w:rPr>
            </w:pPr>
            <w:r w:rsidDel="00000000" w:rsidR="00000000" w:rsidRPr="00000000">
              <w:rPr>
                <w:color w:val="000000"/>
                <w:rtl w:val="0"/>
              </w:rPr>
              <w:t xml:space="preserve">12 h TD</w:t>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16">
            <w:pPr>
              <w:spacing w:after="0" w:line="240" w:lineRule="auto"/>
              <w:jc w:val="right"/>
              <w:rPr>
                <w:color w:val="000000"/>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12"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18">
            <w:pPr>
              <w:spacing w:after="0" w:line="240" w:lineRule="auto"/>
              <w:rPr>
                <w:color w:val="000000"/>
              </w:rPr>
            </w:pPr>
            <w:bookmarkStart w:colFirst="0" w:colLast="0" w:name="_gjdgxs" w:id="0"/>
            <w:bookmarkEnd w:id="0"/>
            <w:r w:rsidDel="00000000" w:rsidR="00000000" w:rsidRPr="00000000">
              <w:rPr>
                <w:color w:val="000000"/>
                <w:rtl w:val="0"/>
              </w:rPr>
              <w:t xml:space="preserve">COEFF : 0</w:t>
            </w:r>
          </w:p>
        </w:tc>
      </w:tr>
      <w:tr>
        <w:trPr>
          <w:trHeight w:val="280" w:hRule="atLeast"/>
        </w:trPr>
        <w:tc>
          <w:tcPr>
            <w:gridSpan w:val="4"/>
            <w:tcBorders>
              <w:top w:color="000000" w:space="0" w:sz="12" w:val="single"/>
              <w:left w:color="000000" w:space="0" w:sz="12" w:val="single"/>
              <w:bottom w:color="000000" w:space="0" w:sz="12" w:val="single"/>
              <w:right w:color="000000" w:space="0" w:sz="4" w:val="single"/>
            </w:tcBorders>
            <w:vAlign w:val="bottom"/>
          </w:tcPr>
          <w:p w:rsidR="00000000" w:rsidDel="00000000" w:rsidP="00000000" w:rsidRDefault="00000000" w:rsidRPr="00000000" w14:paraId="0000001A">
            <w:pPr>
              <w:spacing w:after="0" w:line="240" w:lineRule="auto"/>
              <w:rPr>
                <w:color w:val="000000"/>
              </w:rPr>
            </w:pPr>
            <w:r w:rsidDel="00000000" w:rsidR="00000000" w:rsidRPr="00000000">
              <w:rPr>
                <w:color w:val="000000"/>
                <w:rtl w:val="0"/>
              </w:rPr>
              <w:t xml:space="preserve">Responsable de l'UE : Sandrine MARVILLIERS</w:t>
            </w:r>
          </w:p>
        </w:tc>
        <w:tc>
          <w:tcPr>
            <w:gridSpan w:val="4"/>
            <w:tcBorders>
              <w:top w:color="000000" w:space="0" w:sz="12"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1E">
            <w:pPr>
              <w:spacing w:after="0" w:line="240" w:lineRule="auto"/>
              <w:rPr>
                <w:color w:val="000000"/>
              </w:rPr>
            </w:pPr>
            <w:r w:rsidDel="00000000" w:rsidR="00000000" w:rsidRPr="00000000">
              <w:rPr>
                <w:color w:val="000000"/>
                <w:rtl w:val="0"/>
              </w:rPr>
              <w:t xml:space="preserve">courriel : </w:t>
            </w:r>
            <w:hyperlink r:id="rId6">
              <w:r w:rsidDel="00000000" w:rsidR="00000000" w:rsidRPr="00000000">
                <w:rPr>
                  <w:color w:val="0000ff"/>
                  <w:u w:val="single"/>
                  <w:rtl w:val="0"/>
                </w:rPr>
                <w:t xml:space="preserve">sandrine.marvilliers@univ-reunion.fr</w:t>
              </w:r>
            </w:hyperlink>
            <w:r w:rsidDel="00000000" w:rsidR="00000000" w:rsidRPr="00000000">
              <w:rPr>
                <w:rtl w:val="0"/>
              </w:rPr>
            </w:r>
          </w:p>
        </w:tc>
      </w:tr>
      <w:tr>
        <w:trPr>
          <w:trHeight w:val="280" w:hRule="atLeast"/>
        </w:trPr>
        <w:tc>
          <w:tcPr>
            <w:vMerge w:val="restart"/>
            <w:tcBorders>
              <w:top w:color="000000" w:space="0" w:sz="12" w:val="single"/>
              <w:left w:color="000000" w:space="0" w:sz="12" w:val="single"/>
              <w:right w:color="000000" w:space="0" w:sz="4" w:val="single"/>
            </w:tcBorders>
            <w:vAlign w:val="center"/>
          </w:tcPr>
          <w:p w:rsidR="00000000" w:rsidDel="00000000" w:rsidP="00000000" w:rsidRDefault="00000000" w:rsidRPr="00000000" w14:paraId="00000022">
            <w:pPr>
              <w:spacing w:after="0" w:line="240" w:lineRule="auto"/>
              <w:jc w:val="center"/>
              <w:rPr>
                <w:color w:val="000000"/>
              </w:rPr>
            </w:pPr>
            <w:r w:rsidDel="00000000" w:rsidR="00000000" w:rsidRPr="00000000">
              <w:rPr>
                <w:color w:val="000000"/>
                <w:rtl w:val="0"/>
              </w:rPr>
              <w:t xml:space="preserve">Intervenants :</w:t>
            </w:r>
          </w:p>
        </w:tc>
        <w:tc>
          <w:tcPr>
            <w:gridSpan w:val="3"/>
            <w:tcBorders>
              <w:top w:color="000000" w:space="0" w:sz="12" w:val="single"/>
              <w:left w:color="000000" w:space="0" w:sz="0" w:val="nil"/>
              <w:bottom w:color="000000" w:space="0" w:sz="12" w:val="single"/>
              <w:right w:color="000000" w:space="0" w:sz="4" w:val="single"/>
            </w:tcBorders>
            <w:vAlign w:val="bottom"/>
          </w:tcPr>
          <w:p w:rsidR="00000000" w:rsidDel="00000000" w:rsidP="00000000" w:rsidRDefault="00000000" w:rsidRPr="00000000" w14:paraId="00000023">
            <w:pPr>
              <w:spacing w:after="0" w:line="240" w:lineRule="auto"/>
              <w:jc w:val="center"/>
              <w:rPr>
                <w:color w:val="000000"/>
              </w:rPr>
            </w:pPr>
            <w:r w:rsidDel="00000000" w:rsidR="00000000" w:rsidRPr="00000000">
              <w:rPr>
                <w:color w:val="000000"/>
                <w:rtl w:val="0"/>
              </w:rPr>
              <w:t xml:space="preserve">Sandrine MARVILLIERS</w:t>
            </w:r>
          </w:p>
        </w:tc>
        <w:tc>
          <w:tcPr>
            <w:gridSpan w:val="4"/>
            <w:tcBorders>
              <w:top w:color="000000" w:space="0" w:sz="12"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26">
            <w:pPr>
              <w:spacing w:after="0" w:line="240" w:lineRule="auto"/>
              <w:rPr>
                <w:color w:val="000000"/>
              </w:rPr>
            </w:pPr>
            <w:r w:rsidDel="00000000" w:rsidR="00000000" w:rsidRPr="00000000">
              <w:rPr>
                <w:color w:val="000000"/>
                <w:rtl w:val="0"/>
              </w:rPr>
              <w:t xml:space="preserve">courriel : </w:t>
            </w:r>
            <w:hyperlink r:id="rId7">
              <w:r w:rsidDel="00000000" w:rsidR="00000000" w:rsidRPr="00000000">
                <w:rPr>
                  <w:color w:val="0000ff"/>
                  <w:u w:val="single"/>
                  <w:rtl w:val="0"/>
                </w:rPr>
                <w:t xml:space="preserve">sandrine.marvilliers@univ-reunion.fr</w:t>
              </w:r>
            </w:hyperlink>
            <w:r w:rsidDel="00000000" w:rsidR="00000000" w:rsidRPr="00000000">
              <w:rPr>
                <w:rtl w:val="0"/>
              </w:rPr>
            </w:r>
          </w:p>
        </w:tc>
      </w:tr>
      <w:tr>
        <w:trPr>
          <w:trHeight w:val="280" w:hRule="atLeast"/>
        </w:trPr>
        <w:tc>
          <w:tcPr>
            <w:vMerge w:val="continue"/>
            <w:tcBorders>
              <w:top w:color="000000" w:space="0" w:sz="12" w:val="single"/>
              <w:left w:color="000000" w:space="0" w:sz="12" w:val="single"/>
              <w:right w:color="000000" w:space="0" w:sz="4" w:val="single"/>
            </w:tcBorders>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12" w:val="single"/>
              <w:left w:color="000000" w:space="0" w:sz="0" w:val="nil"/>
              <w:bottom w:color="000000" w:space="0" w:sz="12" w:val="single"/>
              <w:right w:color="000000" w:space="0" w:sz="4" w:val="single"/>
            </w:tcBorders>
            <w:vAlign w:val="bottom"/>
          </w:tcPr>
          <w:p w:rsidR="00000000" w:rsidDel="00000000" w:rsidP="00000000" w:rsidRDefault="00000000" w:rsidRPr="00000000" w14:paraId="0000002B">
            <w:pPr>
              <w:spacing w:after="0" w:line="240" w:lineRule="auto"/>
              <w:jc w:val="center"/>
              <w:rPr>
                <w:color w:val="000000"/>
              </w:rPr>
            </w:pPr>
            <w:r w:rsidDel="00000000" w:rsidR="00000000" w:rsidRPr="00000000">
              <w:rPr>
                <w:rtl w:val="0"/>
              </w:rPr>
              <w:t xml:space="preserve">Elsa</w:t>
            </w:r>
            <w:r w:rsidDel="00000000" w:rsidR="00000000" w:rsidRPr="00000000">
              <w:rPr>
                <w:color w:val="000000"/>
                <w:rtl w:val="0"/>
              </w:rPr>
              <w:t xml:space="preserve"> SIGUIER</w:t>
            </w:r>
          </w:p>
        </w:tc>
        <w:tc>
          <w:tcPr>
            <w:gridSpan w:val="4"/>
            <w:tcBorders>
              <w:top w:color="000000" w:space="0" w:sz="12"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2E">
            <w:pPr>
              <w:spacing w:after="0" w:line="240" w:lineRule="auto"/>
              <w:rPr>
                <w:color w:val="000000"/>
              </w:rPr>
            </w:pPr>
            <w:r w:rsidDel="00000000" w:rsidR="00000000" w:rsidRPr="00000000">
              <w:rPr>
                <w:color w:val="000000"/>
                <w:rtl w:val="0"/>
              </w:rPr>
              <w:t xml:space="preserve">courriel :</w:t>
            </w:r>
            <w:r w:rsidDel="00000000" w:rsidR="00000000" w:rsidRPr="00000000">
              <w:rPr>
                <w:rtl w:val="0"/>
              </w:rPr>
              <w:t xml:space="preserve">elsa</w:t>
            </w:r>
            <w:hyperlink r:id="rId8">
              <w:r w:rsidDel="00000000" w:rsidR="00000000" w:rsidRPr="00000000">
                <w:rPr>
                  <w:color w:val="0000ff"/>
                  <w:u w:val="single"/>
                  <w:rtl w:val="0"/>
                </w:rPr>
                <w:t xml:space="preserve">.siguier@</w:t>
              </w:r>
            </w:hyperlink>
            <w:r w:rsidDel="00000000" w:rsidR="00000000" w:rsidRPr="00000000">
              <w:rPr>
                <w:rtl w:val="0"/>
              </w:rPr>
              <w:t xml:space="preserve">univ-reunion.fr</w:t>
            </w:r>
            <w:r w:rsidDel="00000000" w:rsidR="00000000" w:rsidRPr="00000000">
              <w:rPr>
                <w:rtl w:val="0"/>
              </w:rPr>
            </w:r>
          </w:p>
        </w:tc>
      </w:tr>
      <w:tr>
        <w:trPr>
          <w:trHeight w:val="200" w:hRule="atLeast"/>
        </w:trPr>
        <w:tc>
          <w:tcPr>
            <w:tcBorders>
              <w:top w:color="000000" w:space="0" w:sz="12" w:val="single"/>
              <w:left w:color="000000" w:space="0" w:sz="12" w:val="single"/>
              <w:bottom w:color="000000" w:space="0" w:sz="12" w:val="single"/>
              <w:right w:color="000000" w:space="0" w:sz="0" w:val="nil"/>
            </w:tcBorders>
            <w:vAlign w:val="bottom"/>
          </w:tcPr>
          <w:p w:rsidR="00000000" w:rsidDel="00000000" w:rsidP="00000000" w:rsidRDefault="00000000" w:rsidRPr="00000000" w14:paraId="00000032">
            <w:pPr>
              <w:spacing w:after="0" w:line="240" w:lineRule="auto"/>
              <w:rPr>
                <w:color w:val="000000"/>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33">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34">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35">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36">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37">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38">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39">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3A">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CONTENU PEDAGOGIQUE : </w:t>
            </w:r>
            <w:r w:rsidDel="00000000" w:rsidR="00000000" w:rsidRPr="00000000">
              <w:rPr>
                <w:rFonts w:ascii="Calibri" w:cs="Calibri" w:eastAsia="Calibri" w:hAnsi="Calibri"/>
                <w:i w:val="1"/>
                <w:color w:val="000000"/>
                <w:sz w:val="20"/>
                <w:szCs w:val="20"/>
                <w:rtl w:val="0"/>
              </w:rPr>
              <w:t xml:space="preserve">Description du cours et principes de fonctionnement : de quoi s’agit-il ? Quelles intentions ? </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2">
            <w:pPr>
              <w:widowControl w:val="0"/>
              <w:spacing w:after="0" w:line="240" w:lineRule="auto"/>
              <w:rPr>
                <w:b w:val="1"/>
                <w:color w:val="000000"/>
              </w:rPr>
            </w:pPr>
            <w:r w:rsidDel="00000000" w:rsidR="00000000" w:rsidRPr="00000000">
              <w:rPr>
                <w:b w:val="1"/>
                <w:color w:val="000000"/>
                <w:rtl w:val="0"/>
              </w:rPr>
              <w:t xml:space="preserve">6 TD de 2h ou 4 TD de 3h</w:t>
            </w:r>
          </w:p>
          <w:p w:rsidR="00000000" w:rsidDel="00000000" w:rsidP="00000000" w:rsidRDefault="00000000" w:rsidRPr="00000000" w14:paraId="00000043">
            <w:pPr>
              <w:spacing w:after="0" w:line="240" w:lineRule="auto"/>
              <w:rPr/>
            </w:pPr>
            <w:r w:rsidDel="00000000" w:rsidR="00000000" w:rsidRPr="00000000">
              <w:rPr>
                <w:rtl w:val="0"/>
              </w:rPr>
              <w:t xml:space="preserve">A partir de la grille d’observation remplie lors de différentes observations réalisées à la rentrée par les PES dans les classes de collègues titulaires, les pratiques de classe observées seront listées.</w:t>
            </w:r>
          </w:p>
          <w:p w:rsidR="00000000" w:rsidDel="00000000" w:rsidP="00000000" w:rsidRDefault="00000000" w:rsidRPr="00000000" w14:paraId="00000044">
            <w:pPr>
              <w:spacing w:after="0" w:line="240" w:lineRule="auto"/>
              <w:rPr/>
            </w:pPr>
            <w:r w:rsidDel="00000000" w:rsidR="00000000" w:rsidRPr="00000000">
              <w:rPr>
                <w:rtl w:val="0"/>
              </w:rPr>
              <w:t xml:space="preserve">Par la suite, le formateur questionnera des étudiants sur leurs représentations des différents écrits professionnels qu’ils doivent être amenés à fournir en étant en responsabilité dans une classe (les citer et les définir). Une réflexion sera également menée sur la planification de ces écrits, sur le lien entre les écrits professionnels produits et les démarches pédagogiques engagées en classe et enfin sur le lien entre progressions de période et séquences proposées pendant la même période.</w:t>
            </w:r>
          </w:p>
          <w:p w:rsidR="00000000" w:rsidDel="00000000" w:rsidP="00000000" w:rsidRDefault="00000000" w:rsidRPr="00000000" w14:paraId="00000045">
            <w:pPr>
              <w:spacing w:after="0" w:line="240" w:lineRule="auto"/>
              <w:rPr/>
            </w:pPr>
            <w:r w:rsidDel="00000000" w:rsidR="00000000" w:rsidRPr="00000000">
              <w:rPr>
                <w:rtl w:val="0"/>
              </w:rPr>
            </w:r>
          </w:p>
          <w:p w:rsidR="00000000" w:rsidDel="00000000" w:rsidP="00000000" w:rsidRDefault="00000000" w:rsidRPr="00000000" w14:paraId="00000046">
            <w:pPr>
              <w:spacing w:after="0" w:line="240" w:lineRule="auto"/>
              <w:rPr/>
            </w:pPr>
            <w:r w:rsidDel="00000000" w:rsidR="00000000" w:rsidRPr="00000000">
              <w:rPr>
                <w:rtl w:val="0"/>
              </w:rPr>
              <w:t xml:space="preserve">Les TD suivants répondront aux besoins des étudiants concernant :</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écrits à produire pour leur classe – étayage du formateur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écrits déjà produits – une analyse comparative de certains écrits de PES pourra être menée afin d’en retirer les invariants et les spécificités.</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00" w:hRule="atLeast"/>
        </w:trPr>
        <w:tc>
          <w:tcPr>
            <w:tcBorders>
              <w:top w:color="000000" w:space="0" w:sz="12" w:val="single"/>
              <w:left w:color="000000" w:space="0" w:sz="12" w:val="single"/>
              <w:bottom w:color="000000" w:space="0" w:sz="12" w:val="single"/>
              <w:right w:color="000000" w:space="0" w:sz="0" w:val="nil"/>
            </w:tcBorders>
            <w:vAlign w:val="bottom"/>
          </w:tcPr>
          <w:p w:rsidR="00000000" w:rsidDel="00000000" w:rsidP="00000000" w:rsidRDefault="00000000" w:rsidRPr="00000000" w14:paraId="00000088">
            <w:pPr>
              <w:spacing w:after="0" w:line="240" w:lineRule="auto"/>
              <w:rPr>
                <w:color w:val="000000"/>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89">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8A">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8B">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8C">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8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8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8F">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90">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Objectifs de l’UE pour les étudiants : </w:t>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98">
            <w:pPr>
              <w:widowControl w:val="0"/>
              <w:spacing w:after="0" w:line="240" w:lineRule="auto"/>
              <w:jc w:val="both"/>
              <w:rPr>
                <w:color w:val="000000"/>
              </w:rPr>
            </w:pPr>
            <w:r w:rsidDel="00000000" w:rsidR="00000000" w:rsidRPr="00000000">
              <w:rPr>
                <w:color w:val="000000"/>
                <w:rtl w:val="0"/>
              </w:rPr>
              <w:t xml:space="preserve">-Comprendre le rôle et l’intérêt des différents types d’écrits professionnels enseignants et savoir les expliciter.</w:t>
            </w:r>
          </w:p>
          <w:p w:rsidR="00000000" w:rsidDel="00000000" w:rsidP="00000000" w:rsidRDefault="00000000" w:rsidRPr="00000000" w14:paraId="00000099">
            <w:pPr>
              <w:widowControl w:val="0"/>
              <w:spacing w:after="0" w:line="240" w:lineRule="auto"/>
              <w:jc w:val="both"/>
              <w:rPr>
                <w:color w:val="000000"/>
              </w:rPr>
            </w:pPr>
            <w:r w:rsidDel="00000000" w:rsidR="00000000" w:rsidRPr="00000000">
              <w:rPr>
                <w:color w:val="000000"/>
                <w:rtl w:val="0"/>
              </w:rPr>
              <w:t xml:space="preserve">-Apprendre à rédiger plusieurs de ces écrits pour leur stage de pratique en responsabilité (lien avec le terrain).</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6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C1">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Compétences visées : </w:t>
            </w:r>
            <w:r w:rsidDel="00000000" w:rsidR="00000000" w:rsidRPr="00000000">
              <w:rPr>
                <w:rFonts w:ascii="Calibri" w:cs="Calibri" w:eastAsia="Calibri" w:hAnsi="Calibri"/>
                <w:i w:val="1"/>
                <w:color w:val="000000"/>
                <w:rtl w:val="0"/>
              </w:rPr>
              <w:t xml:space="preserve">De quoi – les étudiants - devront-ils être capables à la fin du cours ? </w:t>
            </w:r>
            <w:r w:rsidDel="00000000" w:rsidR="00000000" w:rsidRPr="00000000">
              <w:rPr>
                <w:rtl w:val="0"/>
              </w:rPr>
            </w:r>
          </w:p>
        </w:tc>
      </w:tr>
      <w:tr>
        <w:trPr>
          <w:trHeight w:val="44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9">
            <w:pPr>
              <w:widowControl w:val="0"/>
              <w:spacing w:after="0" w:line="240" w:lineRule="auto"/>
              <w:jc w:val="both"/>
              <w:rPr/>
            </w:pPr>
            <w:r w:rsidDel="00000000" w:rsidR="00000000" w:rsidRPr="00000000">
              <w:rPr>
                <w:rtl w:val="0"/>
              </w:rPr>
              <w:t xml:space="preserve">-Apprendre à planifier ses écrits professionnels.</w:t>
            </w:r>
          </w:p>
          <w:p w:rsidR="00000000" w:rsidDel="00000000" w:rsidP="00000000" w:rsidRDefault="00000000" w:rsidRPr="00000000" w14:paraId="000000CA">
            <w:pPr>
              <w:widowControl w:val="0"/>
              <w:spacing w:after="0" w:line="240" w:lineRule="auto"/>
              <w:jc w:val="both"/>
              <w:rPr/>
            </w:pPr>
            <w:r w:rsidDel="00000000" w:rsidR="00000000" w:rsidRPr="00000000">
              <w:rPr>
                <w:rtl w:val="0"/>
              </w:rPr>
              <w:t xml:space="preserve">-Apprendre à concevoir son enseignement de manière progressive et cohérente.</w:t>
            </w:r>
          </w:p>
          <w:p w:rsidR="00000000" w:rsidDel="00000000" w:rsidP="00000000" w:rsidRDefault="00000000" w:rsidRPr="00000000" w14:paraId="000000CB">
            <w:pPr>
              <w:widowControl w:val="0"/>
              <w:spacing w:after="0" w:line="240" w:lineRule="auto"/>
              <w:jc w:val="both"/>
              <w:rPr/>
            </w:pPr>
            <w:r w:rsidDel="00000000" w:rsidR="00000000" w:rsidRPr="00000000">
              <w:rPr>
                <w:rtl w:val="0"/>
              </w:rPr>
              <w:t xml:space="preserve">-Faire le lien entre les théories de l'apprentissage et les écrits professionnels pour sa classe.</w:t>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6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FB">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Modalités d'évaluation des connaissances et des compétences</w:t>
            </w:r>
          </w:p>
        </w:tc>
      </w:tr>
      <w:tr>
        <w:trPr>
          <w:trHeight w:val="60" w:hRule="atLeast"/>
        </w:trPr>
        <w:tc>
          <w:tcPr>
            <w:gridSpan w:val="8"/>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103">
            <w:pPr>
              <w:spacing w:after="0" w:line="240" w:lineRule="auto"/>
              <w:rPr>
                <w:color w:val="000000"/>
              </w:rPr>
            </w:pPr>
            <w:r w:rsidDel="00000000" w:rsidR="00000000" w:rsidRPr="00000000">
              <w:rPr>
                <w:color w:val="000000"/>
                <w:rtl w:val="0"/>
              </w:rPr>
              <w:t xml:space="preserve">Session unique : </w:t>
            </w:r>
          </w:p>
        </w:tc>
      </w:tr>
      <w:tr>
        <w:trPr>
          <w:trHeight w:val="620" w:hRule="atLeast"/>
        </w:trPr>
        <w:tc>
          <w:tcPr>
            <w:gridSpan w:val="8"/>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B">
            <w:pPr>
              <w:spacing w:after="0" w:line="240" w:lineRule="auto"/>
              <w:rPr>
                <w:color w:val="000000"/>
              </w:rPr>
            </w:pPr>
            <w:r w:rsidDel="00000000" w:rsidR="00000000" w:rsidRPr="00000000">
              <w:rPr>
                <w:color w:val="000000"/>
                <w:rtl w:val="0"/>
              </w:rPr>
              <w:t xml:space="preserve">Evalué lors des visites en classe, aussi bien par les tuteurs ESPE que par les formateurs de terrain.</w:t>
            </w:r>
          </w:p>
          <w:p w:rsidR="00000000" w:rsidDel="00000000" w:rsidP="00000000" w:rsidRDefault="00000000" w:rsidRPr="00000000" w14:paraId="0000010C">
            <w:pPr>
              <w:spacing w:after="0" w:line="240" w:lineRule="auto"/>
              <w:rPr/>
            </w:pPr>
            <w:r w:rsidDel="00000000" w:rsidR="00000000" w:rsidRPr="00000000">
              <w:rPr>
                <w:color w:val="000000"/>
                <w:rtl w:val="0"/>
              </w:rPr>
              <w:t xml:space="preserve">Possibilité d’évaluation dans l’écrit réflexif.</w:t>
            </w:r>
            <w:r w:rsidDel="00000000" w:rsidR="00000000" w:rsidRPr="00000000">
              <w:rPr>
                <w:rtl w:val="0"/>
              </w:rPr>
            </w:r>
          </w:p>
          <w:p w:rsidR="00000000" w:rsidDel="00000000" w:rsidP="00000000" w:rsidRDefault="00000000" w:rsidRPr="00000000" w14:paraId="0000010D">
            <w:pPr>
              <w:spacing w:after="0" w:line="240" w:lineRule="auto"/>
              <w:rPr>
                <w:color w:val="000000"/>
              </w:rPr>
            </w:pPr>
            <w:r w:rsidDel="00000000" w:rsidR="00000000" w:rsidRPr="00000000">
              <w:rPr>
                <w:color w:val="000000"/>
                <w:rtl w:val="0"/>
              </w:rPr>
              <w:t xml:space="preserve"> </w:t>
            </w:r>
          </w:p>
        </w:tc>
      </w:tr>
      <w:tr>
        <w:trPr>
          <w:trHeight w:val="200" w:hRule="atLeast"/>
        </w:trPr>
        <w:tc>
          <w:tcPr>
            <w:gridSpan w:val="8"/>
            <w:tcBorders>
              <w:top w:color="000000" w:space="0" w:sz="12" w:val="single"/>
              <w:bottom w:color="000000" w:space="0" w:sz="12" w:val="single"/>
            </w:tcBorders>
            <w:vAlign w:val="bottom"/>
          </w:tcPr>
          <w:p w:rsidR="00000000" w:rsidDel="00000000" w:rsidP="00000000" w:rsidRDefault="00000000" w:rsidRPr="00000000" w14:paraId="0000011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11D">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Ressources documentaires : </w:t>
            </w:r>
            <w:r w:rsidDel="00000000" w:rsidR="00000000" w:rsidRPr="00000000">
              <w:rPr>
                <w:rFonts w:ascii="Calibri" w:cs="Calibri" w:eastAsia="Calibri" w:hAnsi="Calibri"/>
                <w:i w:val="1"/>
                <w:color w:val="000000"/>
                <w:rtl w:val="0"/>
              </w:rPr>
              <w:t xml:space="preserve">5 ouvrages et 3 sites internet maximum</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2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DAUNAY, Bertrand. Parcours au sein des écrits professionnels des enseignants. Les écrits professionnels des enseignants. Approche didactique, Presses universitaires de Rennes, p. 15-34, 2011, 978-2-7535-1332-7.</w:t>
            </w:r>
            <w:hyperlink r:id="rId9">
              <w:r w:rsidDel="00000000" w:rsidR="00000000" w:rsidRPr="00000000">
                <w:rPr>
                  <w:rFonts w:ascii="Calibri" w:cs="Calibri" w:eastAsia="Calibri" w:hAnsi="Calibri"/>
                  <w:color w:val="0000ff"/>
                  <w:u w:val="single"/>
                  <w:rtl w:val="0"/>
                </w:rPr>
                <w:t xml:space="preserve">https://hal.archives-ouvertes.fr/hal-01354227/document</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En ligne le 13/08/18</w:t>
            </w: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HASSAN, Rouba. Les écrits professionnels des enseignants : une approche didactique exploratoire, SCRIPTA, Belo Horizonte, v. 16, n. 30, p. 233-247, 1º sem. 2012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https://dialnet.unirioja.es/descarga/articulo/6160235.pdf</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En ligne le 13/08/18</w:t>
            </w: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4E">
      <w:pPr>
        <w:rPr/>
      </w:pPr>
      <w:r w:rsidDel="00000000" w:rsidR="00000000" w:rsidRPr="00000000">
        <w:rPr>
          <w:rtl w:val="0"/>
        </w:rPr>
      </w:r>
    </w:p>
    <w:sectPr>
      <w:headerReference r:id="rId11" w:type="default"/>
      <w:pgSz w:h="16838" w:w="11906"/>
      <w:pgMar w:bottom="289" w:top="454" w:left="454" w:right="45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SYLLABUS </w:t>
    </w:r>
    <w:r w:rsidDel="00000000" w:rsidR="00000000" w:rsidRPr="00000000">
      <w:rPr>
        <w:b w:val="1"/>
        <w:rtl w:val="0"/>
      </w:rPr>
      <w:t xml:space="preserve">DU1PES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dialnet.unirioja.es/descarga/articulo/6160235.pdf" TargetMode="External"/><Relationship Id="rId9" Type="http://schemas.openxmlformats.org/officeDocument/2006/relationships/hyperlink" Target="https://hal.archives-ouvertes.fr/hal-01354227/document" TargetMode="External"/><Relationship Id="rId5" Type="http://schemas.openxmlformats.org/officeDocument/2006/relationships/styles" Target="styles.xml"/><Relationship Id="rId6" Type="http://schemas.openxmlformats.org/officeDocument/2006/relationships/hyperlink" Target="mailto:sandrine.marvilliers@univ-reunion.fr" TargetMode="External"/><Relationship Id="rId7" Type="http://schemas.openxmlformats.org/officeDocument/2006/relationships/hyperlink" Target="mailto:sandrine.marvilliers@univ-reunion.fr" TargetMode="External"/><Relationship Id="rId8" Type="http://schemas.openxmlformats.org/officeDocument/2006/relationships/hyperlink" Target="mailto:jerome.siguier@ac-reunion.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