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025B" w14:textId="77777777" w:rsidR="00E409EE" w:rsidRDefault="00093D5F">
      <w:pPr>
        <w:spacing w:after="0" w:line="276" w:lineRule="auto"/>
        <w:rPr>
          <w:rFonts w:ascii="Arial" w:eastAsia="Arial" w:hAnsi="Arial" w:cs="Arial"/>
        </w:rPr>
      </w:pPr>
      <w:bookmarkStart w:id="0" w:name="_GoBack"/>
      <w:bookmarkEnd w:id="0"/>
      <w:r>
        <w:rPr>
          <w:rFonts w:ascii="Arial" w:eastAsia="Arial" w:hAnsi="Arial" w:cs="Arial"/>
        </w:rPr>
        <w:t xml:space="preserve"> </w:t>
      </w:r>
    </w:p>
    <w:tbl>
      <w:tblPr>
        <w:tblStyle w:val="a"/>
        <w:tblW w:w="8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5"/>
        <w:gridCol w:w="706"/>
        <w:gridCol w:w="989"/>
        <w:gridCol w:w="944"/>
        <w:gridCol w:w="1004"/>
        <w:gridCol w:w="1004"/>
        <w:gridCol w:w="1019"/>
        <w:gridCol w:w="1019"/>
        <w:gridCol w:w="220"/>
      </w:tblGrid>
      <w:tr w:rsidR="00E409EE" w14:paraId="5DA3AFAC" w14:textId="77777777">
        <w:trPr>
          <w:trHeight w:val="560"/>
        </w:trPr>
        <w:tc>
          <w:tcPr>
            <w:tcW w:w="8265" w:type="dxa"/>
            <w:gridSpan w:val="8"/>
            <w:tcBorders>
              <w:top w:val="single" w:sz="12" w:space="0" w:color="000000"/>
              <w:left w:val="single" w:sz="12" w:space="0" w:color="000000"/>
              <w:bottom w:val="single" w:sz="12" w:space="0" w:color="000000"/>
              <w:right w:val="single" w:sz="12" w:space="0" w:color="000000"/>
            </w:tcBorders>
            <w:shd w:val="clear" w:color="auto" w:fill="E7E6E6"/>
            <w:tcMar>
              <w:top w:w="100" w:type="dxa"/>
              <w:left w:w="100" w:type="dxa"/>
              <w:bottom w:w="100" w:type="dxa"/>
              <w:right w:w="100" w:type="dxa"/>
            </w:tcMar>
            <w:vAlign w:val="bottom"/>
          </w:tcPr>
          <w:p w14:paraId="63242D28" w14:textId="77777777" w:rsidR="00E409EE" w:rsidRDefault="00093D5F">
            <w:pPr>
              <w:spacing w:after="0" w:line="276" w:lineRule="auto"/>
              <w:ind w:left="60"/>
              <w:rPr>
                <w:rFonts w:ascii="Arial Black" w:eastAsia="Arial Black" w:hAnsi="Arial Black" w:cs="Arial Black"/>
              </w:rPr>
            </w:pPr>
            <w:r>
              <w:rPr>
                <w:rFonts w:ascii="Arial Black" w:eastAsia="Arial Black" w:hAnsi="Arial Black" w:cs="Arial Black"/>
              </w:rPr>
              <w:t>IDENTIFICATION DU COURS : UE …</w:t>
            </w:r>
          </w:p>
        </w:tc>
        <w:tc>
          <w:tcPr>
            <w:tcW w:w="215" w:type="dxa"/>
            <w:tcBorders>
              <w:top w:val="nil"/>
              <w:left w:val="nil"/>
              <w:bottom w:val="nil"/>
              <w:right w:val="nil"/>
            </w:tcBorders>
            <w:shd w:val="clear" w:color="auto" w:fill="auto"/>
            <w:tcMar>
              <w:top w:w="100" w:type="dxa"/>
              <w:left w:w="100" w:type="dxa"/>
              <w:bottom w:w="100" w:type="dxa"/>
              <w:right w:w="100" w:type="dxa"/>
            </w:tcMar>
          </w:tcPr>
          <w:p w14:paraId="7DE53809" w14:textId="77777777" w:rsidR="00E409EE" w:rsidRDefault="00E409EE">
            <w:pPr>
              <w:ind w:left="60"/>
            </w:pPr>
          </w:p>
        </w:tc>
      </w:tr>
      <w:tr w:rsidR="00E409EE" w14:paraId="3711836C" w14:textId="77777777">
        <w:trPr>
          <w:trHeight w:val="720"/>
        </w:trPr>
        <w:tc>
          <w:tcPr>
            <w:tcW w:w="6225" w:type="dxa"/>
            <w:gridSpan w:val="6"/>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6B9743CE" w14:textId="77777777" w:rsidR="00E409EE" w:rsidRDefault="00093D5F">
            <w:pPr>
              <w:spacing w:after="0" w:line="276" w:lineRule="auto"/>
              <w:ind w:left="60"/>
            </w:pPr>
            <w:r>
              <w:t>Intitulé : ILLETTRISME EN CONTEXTES</w:t>
            </w:r>
          </w:p>
          <w:p w14:paraId="25112C60" w14:textId="77777777" w:rsidR="00E409EE" w:rsidRDefault="00093D5F">
            <w:pPr>
              <w:spacing w:after="0" w:line="276" w:lineRule="auto"/>
              <w:ind w:left="60"/>
            </w:pPr>
            <w:r>
              <w:t>Prévenir l’illettrisme, développer une pédagogie de projet.</w:t>
            </w:r>
          </w:p>
        </w:tc>
        <w:tc>
          <w:tcPr>
            <w:tcW w:w="2040"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EE02024" w14:textId="77777777" w:rsidR="00E409EE" w:rsidRDefault="00093D5F">
            <w:pPr>
              <w:spacing w:after="0" w:line="276" w:lineRule="auto"/>
              <w:ind w:left="60"/>
            </w:pPr>
            <w:r>
              <w:t>Code :</w:t>
            </w:r>
          </w:p>
        </w:tc>
        <w:tc>
          <w:tcPr>
            <w:tcW w:w="215" w:type="dxa"/>
            <w:tcBorders>
              <w:top w:val="nil"/>
              <w:left w:val="nil"/>
              <w:bottom w:val="nil"/>
              <w:right w:val="nil"/>
            </w:tcBorders>
            <w:shd w:val="clear" w:color="auto" w:fill="auto"/>
            <w:tcMar>
              <w:top w:w="100" w:type="dxa"/>
              <w:left w:w="100" w:type="dxa"/>
              <w:bottom w:w="100" w:type="dxa"/>
              <w:right w:w="100" w:type="dxa"/>
            </w:tcMar>
          </w:tcPr>
          <w:p w14:paraId="173DC093" w14:textId="77777777" w:rsidR="00E409EE" w:rsidRDefault="00E409EE">
            <w:pPr>
              <w:ind w:left="60"/>
            </w:pPr>
          </w:p>
        </w:tc>
      </w:tr>
      <w:tr w:rsidR="00E409EE" w14:paraId="204E38E2" w14:textId="77777777">
        <w:trPr>
          <w:trHeight w:val="480"/>
        </w:trPr>
        <w:tc>
          <w:tcPr>
            <w:tcW w:w="2280" w:type="dxa"/>
            <w:gridSpan w:val="2"/>
            <w:tcBorders>
              <w:top w:val="nil"/>
              <w:left w:val="single" w:sz="12" w:space="0" w:color="000000"/>
              <w:bottom w:val="nil"/>
              <w:right w:val="single" w:sz="8" w:space="0" w:color="000000"/>
            </w:tcBorders>
            <w:shd w:val="clear" w:color="auto" w:fill="auto"/>
            <w:tcMar>
              <w:top w:w="100" w:type="dxa"/>
              <w:left w:w="100" w:type="dxa"/>
              <w:bottom w:w="100" w:type="dxa"/>
              <w:right w:w="100" w:type="dxa"/>
            </w:tcMar>
          </w:tcPr>
          <w:p w14:paraId="35EB8CAB" w14:textId="77777777" w:rsidR="00E409EE" w:rsidRDefault="00093D5F">
            <w:pPr>
              <w:spacing w:after="0" w:line="276" w:lineRule="auto"/>
              <w:ind w:left="60"/>
            </w:pPr>
            <w:r>
              <w:t>Volume horaire : 12h</w:t>
            </w:r>
          </w:p>
        </w:tc>
        <w:tc>
          <w:tcPr>
            <w:tcW w:w="990" w:type="dxa"/>
            <w:tcBorders>
              <w:top w:val="nil"/>
              <w:left w:val="nil"/>
              <w:bottom w:val="nil"/>
              <w:right w:val="single" w:sz="8" w:space="0" w:color="000000"/>
            </w:tcBorders>
            <w:shd w:val="clear" w:color="auto" w:fill="auto"/>
            <w:tcMar>
              <w:top w:w="100" w:type="dxa"/>
              <w:left w:w="100" w:type="dxa"/>
              <w:bottom w:w="100" w:type="dxa"/>
              <w:right w:w="100" w:type="dxa"/>
            </w:tcMar>
          </w:tcPr>
          <w:p w14:paraId="28804C12" w14:textId="77777777" w:rsidR="00E409EE" w:rsidRDefault="00093D5F">
            <w:pPr>
              <w:spacing w:after="0" w:line="276" w:lineRule="auto"/>
              <w:ind w:left="60"/>
              <w:jc w:val="center"/>
            </w:pPr>
            <w:r>
              <w:t xml:space="preserve"> 3 h CM</w:t>
            </w:r>
          </w:p>
        </w:tc>
        <w:tc>
          <w:tcPr>
            <w:tcW w:w="945" w:type="dxa"/>
            <w:tcBorders>
              <w:top w:val="nil"/>
              <w:left w:val="nil"/>
              <w:bottom w:val="nil"/>
              <w:right w:val="single" w:sz="8" w:space="0" w:color="000000"/>
            </w:tcBorders>
            <w:shd w:val="clear" w:color="auto" w:fill="auto"/>
            <w:tcMar>
              <w:top w:w="100" w:type="dxa"/>
              <w:left w:w="100" w:type="dxa"/>
              <w:bottom w:w="100" w:type="dxa"/>
              <w:right w:w="100" w:type="dxa"/>
            </w:tcMar>
          </w:tcPr>
          <w:p w14:paraId="5CF3211C" w14:textId="77777777" w:rsidR="00E409EE" w:rsidRDefault="00093D5F">
            <w:pPr>
              <w:spacing w:after="0" w:line="276" w:lineRule="auto"/>
              <w:ind w:left="60"/>
              <w:jc w:val="center"/>
            </w:pPr>
            <w:r>
              <w:t>9 h TD</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764A0F74" w14:textId="77777777" w:rsidR="00E409EE" w:rsidRDefault="00093D5F">
            <w:pPr>
              <w:spacing w:after="0" w:line="276" w:lineRule="auto"/>
              <w:ind w:left="60"/>
              <w:jc w:val="right"/>
            </w:pPr>
            <w: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23FBEA5"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40" w:type="dxa"/>
            <w:gridSpan w:val="2"/>
            <w:tcBorders>
              <w:top w:val="nil"/>
              <w:left w:val="single" w:sz="8" w:space="0" w:color="000000"/>
              <w:bottom w:val="nil"/>
              <w:right w:val="single" w:sz="12" w:space="0" w:color="000000"/>
            </w:tcBorders>
            <w:shd w:val="clear" w:color="auto" w:fill="auto"/>
            <w:tcMar>
              <w:top w:w="100" w:type="dxa"/>
              <w:left w:w="100" w:type="dxa"/>
              <w:bottom w:w="100" w:type="dxa"/>
              <w:right w:w="100" w:type="dxa"/>
            </w:tcMar>
          </w:tcPr>
          <w:p w14:paraId="328169D4" w14:textId="77777777" w:rsidR="00E409EE" w:rsidRDefault="00093D5F">
            <w:pPr>
              <w:spacing w:after="0" w:line="276" w:lineRule="auto"/>
              <w:ind w:left="60"/>
            </w:pPr>
            <w:r>
              <w:t>COEFF :</w:t>
            </w:r>
          </w:p>
        </w:tc>
        <w:tc>
          <w:tcPr>
            <w:tcW w:w="215" w:type="dxa"/>
            <w:tcBorders>
              <w:top w:val="nil"/>
              <w:left w:val="nil"/>
              <w:bottom w:val="nil"/>
              <w:right w:val="nil"/>
            </w:tcBorders>
            <w:shd w:val="clear" w:color="auto" w:fill="auto"/>
            <w:tcMar>
              <w:top w:w="100" w:type="dxa"/>
              <w:left w:w="100" w:type="dxa"/>
              <w:bottom w:w="100" w:type="dxa"/>
              <w:right w:w="100" w:type="dxa"/>
            </w:tcMar>
          </w:tcPr>
          <w:p w14:paraId="29C5B219" w14:textId="77777777" w:rsidR="00E409EE" w:rsidRDefault="00E409EE">
            <w:pPr>
              <w:ind w:left="60"/>
            </w:pPr>
          </w:p>
        </w:tc>
      </w:tr>
      <w:tr w:rsidR="00E409EE" w14:paraId="787809CB" w14:textId="77777777">
        <w:trPr>
          <w:trHeight w:val="480"/>
        </w:trPr>
        <w:tc>
          <w:tcPr>
            <w:tcW w:w="4215" w:type="dxa"/>
            <w:gridSpan w:val="4"/>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E8FABC" w14:textId="77777777" w:rsidR="00E409EE" w:rsidRDefault="00093D5F">
            <w:pPr>
              <w:spacing w:after="0" w:line="276" w:lineRule="auto"/>
              <w:ind w:left="60"/>
            </w:pPr>
            <w:r>
              <w:t>Responsable de l'UE : Liliane Pelletier</w:t>
            </w:r>
          </w:p>
        </w:tc>
        <w:tc>
          <w:tcPr>
            <w:tcW w:w="4050" w:type="dxa"/>
            <w:gridSpan w:val="4"/>
            <w:tcBorders>
              <w:top w:val="single" w:sz="8" w:space="0" w:color="000000"/>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4BE7E6D2" w14:textId="77777777" w:rsidR="00E409EE" w:rsidRDefault="00093D5F">
            <w:pPr>
              <w:spacing w:after="0" w:line="276" w:lineRule="auto"/>
              <w:ind w:left="60"/>
            </w:pPr>
            <w:r>
              <w:t>courriel : liliane.pelletier@univ-reunion.fr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1A8EEF1E" w14:textId="77777777" w:rsidR="00E409EE" w:rsidRDefault="00E409EE">
            <w:pPr>
              <w:ind w:left="60"/>
            </w:pPr>
          </w:p>
        </w:tc>
      </w:tr>
      <w:tr w:rsidR="00E409EE" w14:paraId="42892A90" w14:textId="77777777">
        <w:trPr>
          <w:trHeight w:val="480"/>
        </w:trPr>
        <w:tc>
          <w:tcPr>
            <w:tcW w:w="1575" w:type="dxa"/>
            <w:vMerge w:val="restart"/>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301C9DEB" w14:textId="77777777" w:rsidR="00E409EE" w:rsidRDefault="00093D5F">
            <w:pPr>
              <w:spacing w:after="0" w:line="276" w:lineRule="auto"/>
              <w:ind w:left="60"/>
              <w:jc w:val="center"/>
            </w:pPr>
            <w:r>
              <w:t>Intervenants :</w:t>
            </w:r>
          </w:p>
        </w:tc>
        <w:tc>
          <w:tcPr>
            <w:tcW w:w="2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E30CDF" w14:textId="77777777" w:rsidR="00E409EE" w:rsidRDefault="00093D5F">
            <w:pPr>
              <w:spacing w:after="0" w:line="276" w:lineRule="auto"/>
              <w:ind w:left="60"/>
              <w:jc w:val="center"/>
            </w:pPr>
            <w:r>
              <w:t>Liliane Pelletier (LP)</w:t>
            </w:r>
          </w:p>
        </w:tc>
        <w:tc>
          <w:tcPr>
            <w:tcW w:w="405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2571B250" w14:textId="77777777" w:rsidR="00E409EE" w:rsidRDefault="00093D5F">
            <w:pPr>
              <w:spacing w:after="0" w:line="276" w:lineRule="auto"/>
              <w:ind w:left="60"/>
            </w:pPr>
            <w:r>
              <w:t>courriel : liliane.pelletier@univ-reunion.fr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15D25EBD" w14:textId="77777777" w:rsidR="00E409EE" w:rsidRDefault="00E409EE">
            <w:pPr>
              <w:ind w:left="60"/>
            </w:pPr>
          </w:p>
        </w:tc>
      </w:tr>
      <w:tr w:rsidR="00E409EE" w14:paraId="252A0860" w14:textId="77777777">
        <w:trPr>
          <w:trHeight w:val="720"/>
        </w:trPr>
        <w:tc>
          <w:tcPr>
            <w:tcW w:w="1575" w:type="dxa"/>
            <w:vMerge/>
            <w:tcBorders>
              <w:bottom w:val="single" w:sz="12" w:space="0" w:color="000000"/>
              <w:right w:val="single" w:sz="8" w:space="0" w:color="000000"/>
            </w:tcBorders>
            <w:shd w:val="clear" w:color="auto" w:fill="auto"/>
            <w:tcMar>
              <w:top w:w="100" w:type="dxa"/>
              <w:left w:w="100" w:type="dxa"/>
              <w:bottom w:w="100" w:type="dxa"/>
              <w:right w:w="100" w:type="dxa"/>
            </w:tcMar>
          </w:tcPr>
          <w:p w14:paraId="2332AF1B" w14:textId="77777777" w:rsidR="00E409EE" w:rsidRDefault="00E409EE">
            <w:pPr>
              <w:ind w:left="60"/>
            </w:pPr>
          </w:p>
        </w:tc>
        <w:tc>
          <w:tcPr>
            <w:tcW w:w="2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745BA6" w14:textId="77777777" w:rsidR="00E409EE" w:rsidRDefault="00093D5F">
            <w:pPr>
              <w:spacing w:after="0" w:line="276" w:lineRule="auto"/>
              <w:ind w:left="60"/>
              <w:jc w:val="center"/>
            </w:pPr>
            <w:r>
              <w:t xml:space="preserve"> Pascale Blanchet (PB)</w:t>
            </w:r>
          </w:p>
        </w:tc>
        <w:tc>
          <w:tcPr>
            <w:tcW w:w="405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0CECDC07" w14:textId="77777777" w:rsidR="00E409EE" w:rsidRDefault="00093D5F">
            <w:pPr>
              <w:spacing w:after="0" w:line="276" w:lineRule="auto"/>
              <w:ind w:left="60"/>
            </w:pPr>
            <w:r>
              <w:t>courriel : pascale.blanchet@univ-reunion.fr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75C1C185" w14:textId="77777777" w:rsidR="00E409EE" w:rsidRDefault="00E409EE">
            <w:pPr>
              <w:ind w:left="60"/>
            </w:pPr>
          </w:p>
        </w:tc>
      </w:tr>
      <w:tr w:rsidR="00E409EE" w14:paraId="64FE286E" w14:textId="77777777">
        <w:trPr>
          <w:trHeight w:val="740"/>
        </w:trPr>
        <w:tc>
          <w:tcPr>
            <w:tcW w:w="1575" w:type="dxa"/>
            <w:vMerge/>
            <w:tcBorders>
              <w:bottom w:val="single" w:sz="12" w:space="0" w:color="000000"/>
              <w:right w:val="single" w:sz="8" w:space="0" w:color="000000"/>
            </w:tcBorders>
            <w:shd w:val="clear" w:color="auto" w:fill="auto"/>
            <w:tcMar>
              <w:top w:w="100" w:type="dxa"/>
              <w:left w:w="100" w:type="dxa"/>
              <w:bottom w:w="100" w:type="dxa"/>
              <w:right w:w="100" w:type="dxa"/>
            </w:tcMar>
          </w:tcPr>
          <w:p w14:paraId="5890047E" w14:textId="77777777" w:rsidR="00E409EE" w:rsidRDefault="00E409EE">
            <w:pPr>
              <w:ind w:left="60"/>
            </w:pPr>
          </w:p>
        </w:tc>
        <w:tc>
          <w:tcPr>
            <w:tcW w:w="2640" w:type="dxa"/>
            <w:gridSpan w:val="3"/>
            <w:tcBorders>
              <w:top w:val="nil"/>
              <w:left w:val="nil"/>
              <w:bottom w:val="single" w:sz="12" w:space="0" w:color="000000"/>
              <w:right w:val="single" w:sz="8" w:space="0" w:color="000000"/>
            </w:tcBorders>
            <w:shd w:val="clear" w:color="auto" w:fill="auto"/>
            <w:tcMar>
              <w:top w:w="100" w:type="dxa"/>
              <w:left w:w="100" w:type="dxa"/>
              <w:bottom w:w="100" w:type="dxa"/>
              <w:right w:w="100" w:type="dxa"/>
            </w:tcMar>
            <w:vAlign w:val="bottom"/>
          </w:tcPr>
          <w:p w14:paraId="280949C4" w14:textId="77777777" w:rsidR="00E409EE" w:rsidRDefault="00093D5F">
            <w:pPr>
              <w:spacing w:after="0" w:line="276" w:lineRule="auto"/>
              <w:ind w:left="60"/>
              <w:jc w:val="center"/>
            </w:pPr>
            <w:r>
              <w:t>Emmanuel Bénard (EB)</w:t>
            </w:r>
          </w:p>
        </w:tc>
        <w:tc>
          <w:tcPr>
            <w:tcW w:w="4050" w:type="dxa"/>
            <w:gridSpan w:val="4"/>
            <w:tcBorders>
              <w:top w:val="nil"/>
              <w:left w:val="nil"/>
              <w:bottom w:val="single" w:sz="12" w:space="0" w:color="000000"/>
              <w:right w:val="single" w:sz="12" w:space="0" w:color="000000"/>
            </w:tcBorders>
            <w:shd w:val="clear" w:color="auto" w:fill="auto"/>
            <w:tcMar>
              <w:top w:w="100" w:type="dxa"/>
              <w:left w:w="100" w:type="dxa"/>
              <w:bottom w:w="100" w:type="dxa"/>
              <w:right w:w="100" w:type="dxa"/>
            </w:tcMar>
            <w:vAlign w:val="bottom"/>
          </w:tcPr>
          <w:p w14:paraId="075F9E93" w14:textId="77777777" w:rsidR="00E409EE" w:rsidRDefault="00093D5F">
            <w:pPr>
              <w:spacing w:after="0" w:line="276" w:lineRule="auto"/>
              <w:ind w:left="60"/>
            </w:pPr>
            <w:r>
              <w:t>courriel : emmanuel.benard@univ-reunion.fr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7A5333FB" w14:textId="77777777" w:rsidR="00E409EE" w:rsidRDefault="00E409EE">
            <w:pPr>
              <w:ind w:left="60"/>
            </w:pPr>
          </w:p>
        </w:tc>
      </w:tr>
      <w:tr w:rsidR="00E409EE" w14:paraId="4DE88311" w14:textId="77777777">
        <w:trPr>
          <w:trHeight w:val="42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0561F4BB" w14:textId="77777777" w:rsidR="00E409EE" w:rsidRDefault="00093D5F">
            <w:pPr>
              <w:spacing w:after="0" w:line="276" w:lineRule="auto"/>
              <w:ind w:left="60"/>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19F66B93"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1D899E60"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438D96A7"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29D94CFA"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06AD12A"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6CE6F087"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72A654B0"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720BE8A2" w14:textId="77777777" w:rsidR="00E409EE" w:rsidRDefault="00E409EE">
            <w:pPr>
              <w:ind w:left="60"/>
            </w:pPr>
          </w:p>
        </w:tc>
      </w:tr>
      <w:tr w:rsidR="00E409EE" w14:paraId="7A994078" w14:textId="77777777">
        <w:trPr>
          <w:trHeight w:val="7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6BF8F286" w14:textId="77777777" w:rsidR="00E409EE" w:rsidRDefault="00093D5F">
            <w:pPr>
              <w:spacing w:after="0" w:line="276" w:lineRule="auto"/>
              <w:ind w:left="60"/>
              <w:rPr>
                <w:i/>
                <w:sz w:val="20"/>
                <w:szCs w:val="20"/>
              </w:rPr>
            </w:pPr>
            <w:r>
              <w:rPr>
                <w:rFonts w:ascii="Arial Black" w:eastAsia="Arial Black" w:hAnsi="Arial Black" w:cs="Arial Black"/>
              </w:rPr>
              <w:t xml:space="preserve">CONTENU PEDAGOGIQUE : </w:t>
            </w:r>
            <w:r>
              <w:rPr>
                <w:i/>
                <w:sz w:val="20"/>
                <w:szCs w:val="20"/>
              </w:rPr>
              <w:t>Description du cours et principes de fonctionnement : de quoi s’agit-il ? Quelles intentions ?</w:t>
            </w:r>
          </w:p>
        </w:tc>
        <w:tc>
          <w:tcPr>
            <w:tcW w:w="215" w:type="dxa"/>
            <w:tcBorders>
              <w:top w:val="nil"/>
              <w:left w:val="nil"/>
              <w:bottom w:val="nil"/>
              <w:right w:val="nil"/>
            </w:tcBorders>
            <w:shd w:val="clear" w:color="auto" w:fill="auto"/>
            <w:tcMar>
              <w:top w:w="100" w:type="dxa"/>
              <w:left w:w="100" w:type="dxa"/>
              <w:bottom w:w="100" w:type="dxa"/>
              <w:right w:w="100" w:type="dxa"/>
            </w:tcMar>
          </w:tcPr>
          <w:p w14:paraId="487CE63B" w14:textId="77777777" w:rsidR="00E409EE" w:rsidRDefault="00E409EE">
            <w:pPr>
              <w:ind w:left="60"/>
            </w:pPr>
          </w:p>
        </w:tc>
      </w:tr>
      <w:tr w:rsidR="00E409EE" w14:paraId="5C0D0C3D" w14:textId="77777777">
        <w:trPr>
          <w:trHeight w:val="74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4B3008"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L'illettrisme est un phénomène postscolaire mais les difficultés rencontrées très tôt par l'élève peuvent en être des signes précurseurs. C'est donc dès l'école maternelle et tout au long de la scolarité obligatoire qu'il convient de prévenir l'il</w:t>
            </w:r>
            <w:r>
              <w:t>lettrisme en apportant des réponses adaptées aux facteurs de vulnérabilité, afin d'assurer une forme d'irréversibilité des acquis de base. Au travers d’études scientifiques et par des illustrations de projets menés dans des dispositifs de préventi</w:t>
            </w:r>
            <w:r>
              <w:t>on de l’illettrisme, les contenus dispensés tentent d’éclairer des facteurs qui entrent en jeu dans la prévention : coopération, autonomie, développement de l’estime de soi...</w:t>
            </w:r>
          </w:p>
          <w:p w14:paraId="337E873C" w14:textId="77777777" w:rsidR="00E409EE" w:rsidRDefault="00093D5F">
            <w:pPr>
              <w:spacing w:after="0" w:line="276" w:lineRule="auto"/>
              <w:ind w:left="420"/>
            </w:pPr>
            <w:r>
              <w:t>Les 12 heures s’organisent en deux temps :</w:t>
            </w:r>
          </w:p>
          <w:p w14:paraId="1816EAF5"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Une demi-journée de sensi</w:t>
            </w:r>
            <w:r>
              <w:t>bilisation aux questions d’illettrisme en contextes dans le cadre des Journées nationales d’action contre l’illettrisme (JNAI) sous l’impulsion de l’Agence nationale de lutte contre l’illettrisme (ANLCI).</w:t>
            </w:r>
          </w:p>
          <w:p w14:paraId="42406A88"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Trois TD de 3 heures chacun aborde trois a</w:t>
            </w:r>
            <w:r>
              <w:t>ngles complémentaires :</w:t>
            </w:r>
          </w:p>
          <w:p w14:paraId="3C43BFB8" w14:textId="77777777" w:rsidR="00E409EE" w:rsidRDefault="00093D5F">
            <w:pPr>
              <w:spacing w:after="0" w:line="276" w:lineRule="auto"/>
              <w:ind w:left="420"/>
            </w:pPr>
            <w:r>
              <w:t xml:space="preserve">   </w:t>
            </w:r>
            <w:r>
              <w:tab/>
              <w:t>1- La prévention de l'illettrisme à l'école et autour de l'école : enjeux et leviers (LP)</w:t>
            </w:r>
          </w:p>
          <w:p w14:paraId="0E1EC74B" w14:textId="77777777" w:rsidR="00E409EE" w:rsidRDefault="00093D5F">
            <w:pPr>
              <w:spacing w:after="0" w:line="276" w:lineRule="auto"/>
              <w:ind w:left="420"/>
            </w:pPr>
            <w:r>
              <w:t xml:space="preserve">   </w:t>
            </w:r>
            <w:r>
              <w:tab/>
              <w:t>2- Pédagogie de projet et littérature de jeunesse (PB)</w:t>
            </w:r>
          </w:p>
          <w:p w14:paraId="4DD04CBB" w14:textId="77777777" w:rsidR="00E409EE" w:rsidRDefault="00093D5F">
            <w:pPr>
              <w:spacing w:after="0" w:line="276" w:lineRule="auto"/>
              <w:ind w:left="420"/>
            </w:pPr>
            <w:r>
              <w:t xml:space="preserve">   </w:t>
            </w:r>
            <w:r>
              <w:tab/>
              <w:t>3- Innumérisme et illettrisme mathématique ; illectronisme (EB)</w:t>
            </w:r>
          </w:p>
          <w:p w14:paraId="4B1C7C86" w14:textId="77777777" w:rsidR="00E409EE" w:rsidRDefault="00093D5F">
            <w:pPr>
              <w:spacing w:after="0" w:line="276" w:lineRule="auto"/>
              <w:ind w:left="420"/>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1EE1EB50" w14:textId="77777777" w:rsidR="00E409EE" w:rsidRDefault="00E409EE">
            <w:pPr>
              <w:ind w:left="60"/>
            </w:pPr>
          </w:p>
        </w:tc>
      </w:tr>
      <w:tr w:rsidR="00E409EE" w14:paraId="0C329074"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B9B787E"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66A6F0A" w14:textId="77777777" w:rsidR="00E409EE" w:rsidRDefault="00E409EE">
            <w:pPr>
              <w:ind w:left="60"/>
            </w:pPr>
          </w:p>
        </w:tc>
      </w:tr>
      <w:tr w:rsidR="00E409EE" w14:paraId="2C26F621"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ADC6000"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435B99C5" w14:textId="77777777" w:rsidR="00E409EE" w:rsidRDefault="00E409EE">
            <w:pPr>
              <w:ind w:left="60"/>
            </w:pPr>
          </w:p>
        </w:tc>
      </w:tr>
      <w:tr w:rsidR="00E409EE" w14:paraId="3F74764C"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6DBD287A"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CC6BE05" w14:textId="77777777" w:rsidR="00E409EE" w:rsidRDefault="00E409EE">
            <w:pPr>
              <w:ind w:left="60"/>
            </w:pPr>
          </w:p>
        </w:tc>
      </w:tr>
      <w:tr w:rsidR="00E409EE" w14:paraId="0B1AAA08"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1EB0917"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0C89C22" w14:textId="77777777" w:rsidR="00E409EE" w:rsidRDefault="00E409EE">
            <w:pPr>
              <w:ind w:left="60"/>
            </w:pPr>
          </w:p>
        </w:tc>
      </w:tr>
      <w:tr w:rsidR="00E409EE" w14:paraId="10C51A99"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18F9BB0B"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F894912" w14:textId="77777777" w:rsidR="00E409EE" w:rsidRDefault="00E409EE">
            <w:pPr>
              <w:ind w:left="60"/>
            </w:pPr>
          </w:p>
        </w:tc>
      </w:tr>
      <w:tr w:rsidR="00E409EE" w14:paraId="1437E370"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49A1800"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5697AF96" w14:textId="77777777" w:rsidR="00E409EE" w:rsidRDefault="00E409EE">
            <w:pPr>
              <w:ind w:left="60"/>
            </w:pPr>
          </w:p>
        </w:tc>
      </w:tr>
      <w:tr w:rsidR="00E409EE" w14:paraId="638DDDB7" w14:textId="77777777">
        <w:trPr>
          <w:trHeight w:val="82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F1D0047"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56A06D4C" w14:textId="77777777" w:rsidR="00E409EE" w:rsidRDefault="00E409EE">
            <w:pPr>
              <w:ind w:left="60"/>
            </w:pPr>
          </w:p>
        </w:tc>
      </w:tr>
      <w:tr w:rsidR="00E409EE" w14:paraId="381C22AD" w14:textId="77777777">
        <w:trPr>
          <w:trHeight w:val="42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547F9EE7" w14:textId="77777777" w:rsidR="00E409EE" w:rsidRDefault="00093D5F">
            <w:pPr>
              <w:spacing w:after="0" w:line="276" w:lineRule="auto"/>
              <w:ind w:left="60"/>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3EFFF390"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7C2FA783"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4B3A4260"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5114B66"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53863875"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5F30C761"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6D5DBD23" w14:textId="77777777" w:rsidR="00E409EE" w:rsidRDefault="00093D5F">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402DCCF1" w14:textId="77777777" w:rsidR="00E409EE" w:rsidRDefault="00E409EE">
            <w:pPr>
              <w:ind w:left="60"/>
            </w:pPr>
          </w:p>
        </w:tc>
      </w:tr>
      <w:tr w:rsidR="00E409EE" w14:paraId="2A1BA5EB" w14:textId="77777777">
        <w:trPr>
          <w:trHeight w:val="5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2A6B1A9E" w14:textId="77777777" w:rsidR="00E409EE" w:rsidRDefault="00093D5F">
            <w:pPr>
              <w:spacing w:after="0" w:line="276" w:lineRule="auto"/>
              <w:ind w:left="60"/>
              <w:rPr>
                <w:rFonts w:ascii="Arial Black" w:eastAsia="Arial Black" w:hAnsi="Arial Black" w:cs="Arial Black"/>
              </w:rPr>
            </w:pPr>
            <w:r>
              <w:rPr>
                <w:rFonts w:ascii="Arial Black" w:eastAsia="Arial Black" w:hAnsi="Arial Black" w:cs="Arial Black"/>
              </w:rPr>
              <w:t>Objectifs de l’UE pour les étudiants :</w:t>
            </w:r>
          </w:p>
        </w:tc>
        <w:tc>
          <w:tcPr>
            <w:tcW w:w="215" w:type="dxa"/>
            <w:tcBorders>
              <w:top w:val="nil"/>
              <w:left w:val="nil"/>
              <w:bottom w:val="nil"/>
              <w:right w:val="nil"/>
            </w:tcBorders>
            <w:shd w:val="clear" w:color="auto" w:fill="auto"/>
            <w:tcMar>
              <w:top w:w="100" w:type="dxa"/>
              <w:left w:w="100" w:type="dxa"/>
              <w:bottom w:w="100" w:type="dxa"/>
              <w:right w:w="100" w:type="dxa"/>
            </w:tcMar>
          </w:tcPr>
          <w:p w14:paraId="69E8FC15" w14:textId="77777777" w:rsidR="00E409EE" w:rsidRDefault="00E409EE">
            <w:pPr>
              <w:ind w:left="60"/>
            </w:pPr>
          </w:p>
        </w:tc>
      </w:tr>
      <w:tr w:rsidR="00E409EE" w14:paraId="353B19EC" w14:textId="77777777">
        <w:trPr>
          <w:trHeight w:val="54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B8FE9E"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Former les futurs enseignants aux problématiques de l’illettrisme et aux enjeux de la littératie.</w:t>
            </w:r>
          </w:p>
          <w:p w14:paraId="310CA97F"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Engager les étudiants inscrits dans les parcours MEEF2 à participer à une action de prévention de l’illettrisme dans leur parcours de formation et à rendre compte dans un écrit (MRP ou écrit réflexif).</w:t>
            </w:r>
          </w:p>
          <w:p w14:paraId="4DCF4C86"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Contextualiser l’acte d’enseigner.</w:t>
            </w:r>
          </w:p>
          <w:p w14:paraId="24B783ED" w14:textId="77777777" w:rsidR="00E409EE" w:rsidRDefault="00093D5F">
            <w:pPr>
              <w:spacing w:after="0" w:line="276" w:lineRule="auto"/>
              <w:ind w:left="1140" w:hanging="360"/>
            </w:pPr>
            <w:r>
              <w:t>-</w:t>
            </w:r>
            <w:r>
              <w:rPr>
                <w:rFonts w:ascii="Times New Roman" w:eastAsia="Times New Roman" w:hAnsi="Times New Roman" w:cs="Times New Roman"/>
                <w:sz w:val="14"/>
                <w:szCs w:val="14"/>
              </w:rPr>
              <w:t xml:space="preserve">        </w:t>
            </w:r>
            <w:r>
              <w:t>Repérer les enjeux d’une pédagogie de projet et les moyens de sa mise en œuvre.</w:t>
            </w:r>
          </w:p>
        </w:tc>
        <w:tc>
          <w:tcPr>
            <w:tcW w:w="215" w:type="dxa"/>
            <w:tcBorders>
              <w:top w:val="nil"/>
              <w:left w:val="nil"/>
              <w:bottom w:val="nil"/>
              <w:right w:val="nil"/>
            </w:tcBorders>
            <w:shd w:val="clear" w:color="auto" w:fill="auto"/>
            <w:tcMar>
              <w:top w:w="100" w:type="dxa"/>
              <w:left w:w="100" w:type="dxa"/>
              <w:bottom w:w="100" w:type="dxa"/>
              <w:right w:w="100" w:type="dxa"/>
            </w:tcMar>
          </w:tcPr>
          <w:p w14:paraId="2F4CED5F" w14:textId="77777777" w:rsidR="00E409EE" w:rsidRDefault="00E409EE">
            <w:pPr>
              <w:ind w:left="60"/>
            </w:pPr>
          </w:p>
        </w:tc>
      </w:tr>
      <w:tr w:rsidR="00E409EE" w14:paraId="2D3FDE5E"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75E465B"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6BDDFCF" w14:textId="77777777" w:rsidR="00E409EE" w:rsidRDefault="00E409EE">
            <w:pPr>
              <w:ind w:left="60"/>
            </w:pPr>
          </w:p>
        </w:tc>
      </w:tr>
      <w:tr w:rsidR="00E409EE" w14:paraId="45A71BDC"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64291A5"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42DA2415" w14:textId="77777777" w:rsidR="00E409EE" w:rsidRDefault="00E409EE">
            <w:pPr>
              <w:ind w:left="60"/>
            </w:pPr>
          </w:p>
        </w:tc>
      </w:tr>
      <w:tr w:rsidR="00E409EE" w14:paraId="56F173A7"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6E4A5C8"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7CB8C1D8" w14:textId="77777777" w:rsidR="00E409EE" w:rsidRDefault="00E409EE">
            <w:pPr>
              <w:ind w:left="60"/>
            </w:pPr>
          </w:p>
        </w:tc>
      </w:tr>
      <w:tr w:rsidR="00E409EE" w14:paraId="4F618043"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7EEB4FF"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BA2609E" w14:textId="77777777" w:rsidR="00E409EE" w:rsidRDefault="00E409EE">
            <w:pPr>
              <w:ind w:left="60"/>
            </w:pPr>
          </w:p>
        </w:tc>
      </w:tr>
      <w:tr w:rsidR="00E409EE" w14:paraId="2AD9F568" w14:textId="77777777">
        <w:trPr>
          <w:trHeight w:val="800"/>
        </w:trPr>
        <w:tc>
          <w:tcPr>
            <w:tcW w:w="8265" w:type="dxa"/>
            <w:gridSpan w:val="8"/>
            <w:tcBorders>
              <w:top w:val="nil"/>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6A8275B6" w14:textId="77777777" w:rsidR="00E409EE" w:rsidRDefault="00093D5F">
            <w:pPr>
              <w:spacing w:after="0" w:line="276" w:lineRule="auto"/>
              <w:ind w:left="60"/>
              <w:rPr>
                <w:i/>
              </w:rPr>
            </w:pPr>
            <w:r>
              <w:rPr>
                <w:rFonts w:ascii="Arial Black" w:eastAsia="Arial Black" w:hAnsi="Arial Black" w:cs="Arial Black"/>
              </w:rPr>
              <w:t xml:space="preserve">Compétences visées : </w:t>
            </w:r>
            <w:r>
              <w:rPr>
                <w:i/>
              </w:rPr>
              <w:t>De quoi – les étudiants - devront-ils être capables à la fin du cours ?</w:t>
            </w:r>
          </w:p>
        </w:tc>
        <w:tc>
          <w:tcPr>
            <w:tcW w:w="215" w:type="dxa"/>
            <w:tcBorders>
              <w:top w:val="nil"/>
              <w:left w:val="nil"/>
              <w:bottom w:val="nil"/>
              <w:right w:val="nil"/>
            </w:tcBorders>
            <w:shd w:val="clear" w:color="auto" w:fill="auto"/>
            <w:tcMar>
              <w:top w:w="100" w:type="dxa"/>
              <w:left w:w="100" w:type="dxa"/>
              <w:bottom w:w="100" w:type="dxa"/>
              <w:right w:w="100" w:type="dxa"/>
            </w:tcMar>
          </w:tcPr>
          <w:p w14:paraId="29EAAC1F" w14:textId="77777777" w:rsidR="00E409EE" w:rsidRDefault="00E409EE">
            <w:pPr>
              <w:ind w:left="60"/>
            </w:pPr>
          </w:p>
        </w:tc>
      </w:tr>
      <w:tr w:rsidR="00E409EE" w14:paraId="64E0A72F" w14:textId="77777777">
        <w:trPr>
          <w:trHeight w:val="50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A86FF3" w14:textId="77777777" w:rsidR="00E409EE" w:rsidRDefault="00093D5F">
            <w:pPr>
              <w:spacing w:after="0" w:line="276" w:lineRule="auto"/>
              <w:ind w:left="60"/>
              <w:jc w:val="both"/>
            </w:pPr>
            <w:r>
              <w:t xml:space="preserve"> - Distinguer analphabétisme et illettrisme. Comprendre le concept de littératie.</w:t>
            </w:r>
          </w:p>
          <w:p w14:paraId="06DB769A" w14:textId="77777777" w:rsidR="00E409EE" w:rsidRDefault="00093D5F">
            <w:pPr>
              <w:spacing w:after="0" w:line="276" w:lineRule="auto"/>
              <w:ind w:left="60"/>
              <w:jc w:val="both"/>
            </w:pPr>
            <w:r>
              <w:t xml:space="preserve"> - Définir et comprendre les enjeux liés aux problématiques de l’illettrisme, de l’innumérisme, de l’illectronisme.</w:t>
            </w:r>
          </w:p>
          <w:p w14:paraId="2C61A3B3" w14:textId="77777777" w:rsidR="00E409EE" w:rsidRDefault="00093D5F">
            <w:pPr>
              <w:spacing w:after="0" w:line="276" w:lineRule="auto"/>
              <w:ind w:left="60"/>
              <w:jc w:val="both"/>
            </w:pPr>
            <w:r>
              <w:t>-  Comprendre et mettre en œuvre une pédagogie de projet s</w:t>
            </w:r>
            <w:r>
              <w:t>ous l’angle de l’interdisciplinarité.</w:t>
            </w:r>
          </w:p>
        </w:tc>
        <w:tc>
          <w:tcPr>
            <w:tcW w:w="215" w:type="dxa"/>
            <w:tcBorders>
              <w:top w:val="nil"/>
              <w:left w:val="nil"/>
              <w:bottom w:val="nil"/>
              <w:right w:val="nil"/>
            </w:tcBorders>
            <w:shd w:val="clear" w:color="auto" w:fill="auto"/>
            <w:tcMar>
              <w:top w:w="100" w:type="dxa"/>
              <w:left w:w="100" w:type="dxa"/>
              <w:bottom w:w="100" w:type="dxa"/>
              <w:right w:w="100" w:type="dxa"/>
            </w:tcMar>
          </w:tcPr>
          <w:p w14:paraId="38D1D4E2" w14:textId="77777777" w:rsidR="00E409EE" w:rsidRDefault="00E409EE">
            <w:pPr>
              <w:ind w:left="60"/>
            </w:pPr>
          </w:p>
        </w:tc>
      </w:tr>
      <w:tr w:rsidR="00E409EE" w14:paraId="03756725"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197AA20C"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0A77663" w14:textId="77777777" w:rsidR="00E409EE" w:rsidRDefault="00E409EE">
            <w:pPr>
              <w:ind w:left="60"/>
            </w:pPr>
          </w:p>
        </w:tc>
      </w:tr>
      <w:tr w:rsidR="00E409EE" w14:paraId="213A4800"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A02AC3D"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3968A08" w14:textId="77777777" w:rsidR="00E409EE" w:rsidRDefault="00E409EE">
            <w:pPr>
              <w:ind w:left="60"/>
            </w:pPr>
          </w:p>
        </w:tc>
      </w:tr>
      <w:tr w:rsidR="00E409EE" w14:paraId="43B7F1AA"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53E8DB7A"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738A8FE" w14:textId="77777777" w:rsidR="00E409EE" w:rsidRDefault="00E409EE">
            <w:pPr>
              <w:ind w:left="60"/>
            </w:pPr>
          </w:p>
        </w:tc>
      </w:tr>
      <w:tr w:rsidR="00E409EE" w14:paraId="3408BCF4"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2BED4FD"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DFD934C" w14:textId="77777777" w:rsidR="00E409EE" w:rsidRDefault="00E409EE">
            <w:pPr>
              <w:ind w:left="60"/>
            </w:pPr>
          </w:p>
        </w:tc>
      </w:tr>
      <w:tr w:rsidR="00E409EE" w14:paraId="6CCD2279"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E45AE3D"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23A2C94" w14:textId="77777777" w:rsidR="00E409EE" w:rsidRDefault="00E409EE">
            <w:pPr>
              <w:ind w:left="60"/>
            </w:pPr>
          </w:p>
        </w:tc>
      </w:tr>
      <w:tr w:rsidR="00E409EE" w14:paraId="2C9738E9" w14:textId="77777777">
        <w:trPr>
          <w:trHeight w:val="560"/>
        </w:trPr>
        <w:tc>
          <w:tcPr>
            <w:tcW w:w="8265" w:type="dxa"/>
            <w:gridSpan w:val="8"/>
            <w:tcBorders>
              <w:top w:val="nil"/>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14B06DB3" w14:textId="77777777" w:rsidR="00E409EE" w:rsidRDefault="00093D5F">
            <w:pPr>
              <w:spacing w:after="0" w:line="276" w:lineRule="auto"/>
              <w:ind w:left="60"/>
              <w:rPr>
                <w:rFonts w:ascii="Arial Black" w:eastAsia="Arial Black" w:hAnsi="Arial Black" w:cs="Arial Black"/>
              </w:rPr>
            </w:pPr>
            <w:r>
              <w:rPr>
                <w:rFonts w:ascii="Arial Black" w:eastAsia="Arial Black" w:hAnsi="Arial Black" w:cs="Arial Black"/>
              </w:rPr>
              <w:t>Modalités d'évaluation des connaissances et des compétences</w:t>
            </w:r>
          </w:p>
        </w:tc>
        <w:tc>
          <w:tcPr>
            <w:tcW w:w="215" w:type="dxa"/>
            <w:tcBorders>
              <w:top w:val="nil"/>
              <w:left w:val="nil"/>
              <w:bottom w:val="nil"/>
              <w:right w:val="nil"/>
            </w:tcBorders>
            <w:shd w:val="clear" w:color="auto" w:fill="auto"/>
            <w:tcMar>
              <w:top w:w="100" w:type="dxa"/>
              <w:left w:w="100" w:type="dxa"/>
              <w:bottom w:w="100" w:type="dxa"/>
              <w:right w:w="100" w:type="dxa"/>
            </w:tcMar>
          </w:tcPr>
          <w:p w14:paraId="4F6D3BAD" w14:textId="77777777" w:rsidR="00E409EE" w:rsidRDefault="00E409EE">
            <w:pPr>
              <w:ind w:left="60"/>
            </w:pPr>
          </w:p>
        </w:tc>
      </w:tr>
      <w:tr w:rsidR="00E409EE" w14:paraId="09652055" w14:textId="77777777">
        <w:trPr>
          <w:trHeight w:val="520"/>
        </w:trPr>
        <w:tc>
          <w:tcPr>
            <w:tcW w:w="4215" w:type="dxa"/>
            <w:gridSpan w:val="4"/>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406F0D0C" w14:textId="77777777" w:rsidR="00E409EE" w:rsidRDefault="00093D5F">
            <w:pPr>
              <w:spacing w:after="0" w:line="276" w:lineRule="auto"/>
              <w:ind w:left="60"/>
            </w:pPr>
            <w:r>
              <w:t>1</w:t>
            </w:r>
            <w:r>
              <w:rPr>
                <w:vertAlign w:val="superscript"/>
              </w:rPr>
              <w:t>ère</w:t>
            </w:r>
            <w:r>
              <w:t xml:space="preserve"> session :</w:t>
            </w:r>
          </w:p>
        </w:tc>
        <w:tc>
          <w:tcPr>
            <w:tcW w:w="4050" w:type="dxa"/>
            <w:gridSpan w:val="4"/>
            <w:tcBorders>
              <w:top w:val="single" w:sz="12" w:space="0" w:color="000000"/>
              <w:left w:val="nil"/>
              <w:bottom w:val="nil"/>
              <w:right w:val="single" w:sz="12" w:space="0" w:color="000000"/>
            </w:tcBorders>
            <w:shd w:val="clear" w:color="auto" w:fill="auto"/>
            <w:tcMar>
              <w:top w:w="100" w:type="dxa"/>
              <w:left w:w="100" w:type="dxa"/>
              <w:bottom w:w="100" w:type="dxa"/>
              <w:right w:w="100" w:type="dxa"/>
            </w:tcMar>
          </w:tcPr>
          <w:p w14:paraId="7F546D5B" w14:textId="77777777" w:rsidR="00E409EE" w:rsidRDefault="00093D5F">
            <w:pPr>
              <w:spacing w:after="0" w:line="276" w:lineRule="auto"/>
              <w:ind w:left="60"/>
            </w:pPr>
            <w:r>
              <w:t>2</w:t>
            </w:r>
            <w:r>
              <w:rPr>
                <w:vertAlign w:val="superscript"/>
              </w:rPr>
              <w:t>ème</w:t>
            </w:r>
            <w:r>
              <w:t xml:space="preserve"> session :</w:t>
            </w:r>
          </w:p>
        </w:tc>
        <w:tc>
          <w:tcPr>
            <w:tcW w:w="215" w:type="dxa"/>
            <w:tcBorders>
              <w:top w:val="nil"/>
              <w:left w:val="nil"/>
              <w:bottom w:val="nil"/>
              <w:right w:val="nil"/>
            </w:tcBorders>
            <w:shd w:val="clear" w:color="auto" w:fill="auto"/>
            <w:tcMar>
              <w:top w:w="100" w:type="dxa"/>
              <w:left w:w="100" w:type="dxa"/>
              <w:bottom w:w="100" w:type="dxa"/>
              <w:right w:w="100" w:type="dxa"/>
            </w:tcMar>
          </w:tcPr>
          <w:p w14:paraId="64F440C1" w14:textId="77777777" w:rsidR="00E409EE" w:rsidRDefault="00E409EE">
            <w:pPr>
              <w:ind w:left="60"/>
            </w:pPr>
          </w:p>
        </w:tc>
      </w:tr>
      <w:tr w:rsidR="00E409EE" w14:paraId="4CB5A6F6" w14:textId="77777777">
        <w:trPr>
          <w:trHeight w:val="480"/>
        </w:trPr>
        <w:tc>
          <w:tcPr>
            <w:tcW w:w="4215" w:type="dxa"/>
            <w:gridSpan w:val="4"/>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605CB" w14:textId="77777777" w:rsidR="00E409EE" w:rsidRDefault="00093D5F">
            <w:pPr>
              <w:spacing w:after="0" w:line="276" w:lineRule="auto"/>
              <w:ind w:left="60"/>
            </w:pPr>
            <w:r>
              <w:t xml:space="preserve"> Présence à la demi-journée de sensibilisation JNAI</w:t>
            </w:r>
          </w:p>
          <w:p w14:paraId="2168F6F8" w14:textId="77777777" w:rsidR="00E409EE" w:rsidRDefault="00093D5F">
            <w:pPr>
              <w:spacing w:after="0" w:line="276" w:lineRule="auto"/>
              <w:ind w:left="60"/>
            </w:pPr>
            <w:r>
              <w:t xml:space="preserve"> Présence aux trois TD de 3 heures</w:t>
            </w:r>
          </w:p>
        </w:tc>
        <w:tc>
          <w:tcPr>
            <w:tcW w:w="4050" w:type="dxa"/>
            <w:gridSpan w:val="4"/>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52D740BD" w14:textId="77777777" w:rsidR="00E409EE" w:rsidRDefault="00093D5F">
            <w:pPr>
              <w:spacing w:after="0" w:line="276" w:lineRule="auto"/>
              <w:ind w:left="60"/>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26DB78CA" w14:textId="77777777" w:rsidR="00E409EE" w:rsidRDefault="00E409EE">
            <w:pPr>
              <w:ind w:left="60"/>
            </w:pPr>
          </w:p>
        </w:tc>
      </w:tr>
      <w:tr w:rsidR="00E409EE" w14:paraId="1AB0442A"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6FD31371" w14:textId="77777777" w:rsidR="00E409EE" w:rsidRDefault="00E409EE">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0F9DBB5B"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1295BB7" w14:textId="77777777" w:rsidR="00E409EE" w:rsidRDefault="00E409EE">
            <w:pPr>
              <w:ind w:left="60"/>
            </w:pPr>
          </w:p>
        </w:tc>
      </w:tr>
      <w:tr w:rsidR="00E409EE" w14:paraId="71FD4D24"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7733BA13" w14:textId="77777777" w:rsidR="00E409EE" w:rsidRDefault="00E409EE">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16765B4C"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559937C4" w14:textId="77777777" w:rsidR="00E409EE" w:rsidRDefault="00E409EE">
            <w:pPr>
              <w:ind w:left="60"/>
            </w:pPr>
          </w:p>
        </w:tc>
      </w:tr>
      <w:tr w:rsidR="00E409EE" w14:paraId="399C772F"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1D855059" w14:textId="77777777" w:rsidR="00E409EE" w:rsidRDefault="00E409EE">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1E6819F6"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AB8AB9D" w14:textId="77777777" w:rsidR="00E409EE" w:rsidRDefault="00E409EE">
            <w:pPr>
              <w:ind w:left="60"/>
            </w:pPr>
          </w:p>
        </w:tc>
      </w:tr>
      <w:tr w:rsidR="00E409EE" w14:paraId="54F10900" w14:textId="77777777">
        <w:trPr>
          <w:trHeight w:val="46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4295150C" w14:textId="77777777" w:rsidR="00E409EE" w:rsidRDefault="00093D5F">
            <w:pPr>
              <w:spacing w:after="0" w:line="276" w:lineRule="auto"/>
              <w:ind w:left="60"/>
              <w:jc w:val="center"/>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6C55586E"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212E6375" w14:textId="77777777" w:rsidR="00E409EE" w:rsidRDefault="00093D5F">
            <w:pPr>
              <w:spacing w:after="0" w:line="276" w:lineRule="auto"/>
              <w:ind w:left="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0BAA3DC6"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D10863C"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DFA7335"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2C226FB4"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40240FC0" w14:textId="77777777" w:rsidR="00E409EE" w:rsidRDefault="00093D5F">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427D1DE7" w14:textId="77777777" w:rsidR="00E409EE" w:rsidRDefault="00E409EE">
            <w:pPr>
              <w:ind w:left="60"/>
            </w:pPr>
          </w:p>
        </w:tc>
      </w:tr>
      <w:tr w:rsidR="00E409EE" w14:paraId="6A2A45B1" w14:textId="77777777">
        <w:trPr>
          <w:trHeight w:val="5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3DF315EC" w14:textId="77777777" w:rsidR="00E409EE" w:rsidRDefault="00093D5F">
            <w:pPr>
              <w:spacing w:after="0" w:line="276" w:lineRule="auto"/>
              <w:ind w:left="60"/>
              <w:rPr>
                <w:i/>
              </w:rPr>
            </w:pPr>
            <w:r>
              <w:rPr>
                <w:rFonts w:ascii="Arial Black" w:eastAsia="Arial Black" w:hAnsi="Arial Black" w:cs="Arial Black"/>
              </w:rPr>
              <w:t xml:space="preserve">Ressources documentaires : </w:t>
            </w:r>
            <w:r>
              <w:rPr>
                <w:i/>
              </w:rPr>
              <w:t>5 ouvrages et 3 sites internet maximum</w:t>
            </w:r>
          </w:p>
        </w:tc>
        <w:tc>
          <w:tcPr>
            <w:tcW w:w="215" w:type="dxa"/>
            <w:tcBorders>
              <w:top w:val="nil"/>
              <w:left w:val="nil"/>
              <w:bottom w:val="nil"/>
              <w:right w:val="nil"/>
            </w:tcBorders>
            <w:shd w:val="clear" w:color="auto" w:fill="auto"/>
            <w:tcMar>
              <w:top w:w="100" w:type="dxa"/>
              <w:left w:w="100" w:type="dxa"/>
              <w:bottom w:w="100" w:type="dxa"/>
              <w:right w:w="100" w:type="dxa"/>
            </w:tcMar>
          </w:tcPr>
          <w:p w14:paraId="319CDF2B" w14:textId="77777777" w:rsidR="00E409EE" w:rsidRDefault="00E409EE">
            <w:pPr>
              <w:ind w:left="60"/>
            </w:pPr>
          </w:p>
        </w:tc>
      </w:tr>
      <w:tr w:rsidR="00E409EE" w14:paraId="68DEDC60" w14:textId="77777777">
        <w:trPr>
          <w:trHeight w:val="100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2C085AB" w14:textId="77777777" w:rsidR="00E409EE" w:rsidRDefault="00093D5F">
            <w:pPr>
              <w:spacing w:after="0" w:line="276" w:lineRule="auto"/>
              <w:ind w:left="60"/>
            </w:pPr>
            <w:r>
              <w:t xml:space="preserve">Bautier, E. (2001). </w:t>
            </w:r>
            <w:r>
              <w:rPr>
                <w:i/>
              </w:rPr>
              <w:t xml:space="preserve">Illettrismes et cultures. </w:t>
            </w:r>
            <w:r>
              <w:t>Paris : L'Harmattan.</w:t>
            </w:r>
          </w:p>
          <w:p w14:paraId="5ED4E050" w14:textId="77777777" w:rsidR="00E409EE" w:rsidRDefault="00093D5F">
            <w:pPr>
              <w:spacing w:after="0" w:line="276" w:lineRule="auto"/>
              <w:ind w:left="60"/>
            </w:pPr>
            <w:r>
              <w:t xml:space="preserve">Bénard, E. (2013). Difficultés conceptuelles des élèves de Grande Section en milieu créolophone : entre innumérisme et illettrisme mathématique. </w:t>
            </w:r>
            <w:r>
              <w:rPr>
                <w:i/>
              </w:rPr>
              <w:t>Séminaire du Laboratoire d'Informatique et de Mathématique</w:t>
            </w:r>
            <w:r>
              <w:t>, May 2013, Réunion.</w:t>
            </w:r>
          </w:p>
          <w:p w14:paraId="27AE4C2F" w14:textId="77777777" w:rsidR="00E409EE" w:rsidRDefault="00093D5F">
            <w:pPr>
              <w:spacing w:after="0" w:line="276" w:lineRule="auto"/>
              <w:ind w:left="60"/>
            </w:pPr>
            <w:r>
              <w:t xml:space="preserve">Bentolila, A. (1996). </w:t>
            </w:r>
            <w:r>
              <w:rPr>
                <w:i/>
              </w:rPr>
              <w:t>De l’ille</w:t>
            </w:r>
            <w:r>
              <w:rPr>
                <w:i/>
              </w:rPr>
              <w:t>ttrisme en général et de l’école en particulier. Paris</w:t>
            </w:r>
            <w:r>
              <w:t xml:space="preserve"> : Plon.</w:t>
            </w:r>
          </w:p>
          <w:p w14:paraId="64AD68DC" w14:textId="77777777" w:rsidR="00E409EE" w:rsidRDefault="00093D5F">
            <w:pPr>
              <w:spacing w:after="0" w:line="276" w:lineRule="auto"/>
              <w:ind w:left="60"/>
            </w:pPr>
            <w:r>
              <w:t xml:space="preserve">Delahaye, J-P. et Fernandez, H. (2013). </w:t>
            </w:r>
            <w:r>
              <w:rPr>
                <w:i/>
              </w:rPr>
              <w:t>Agir contre l’illettrisme. L’école se mobilise</w:t>
            </w:r>
            <w:r>
              <w:t xml:space="preserve"> (Kit pédagogique).</w:t>
            </w:r>
          </w:p>
          <w:p w14:paraId="6B9CAC31" w14:textId="77777777" w:rsidR="00E409EE" w:rsidRDefault="00093D5F">
            <w:pPr>
              <w:spacing w:after="0"/>
              <w:ind w:left="60"/>
            </w:pPr>
            <w:r>
              <w:t xml:space="preserve">Équipe du rapport de suivi sur l’éducation UNESCO (2017). </w:t>
            </w:r>
            <w:r>
              <w:rPr>
                <w:i/>
              </w:rPr>
              <w:t>Rendre des comptes en matière</w:t>
            </w:r>
            <w:r>
              <w:rPr>
                <w:i/>
              </w:rPr>
              <w:t xml:space="preserve"> d'éducation : tenir nos engagements. Rapport mondial de suivi sur l'éducation 2017/8</w:t>
            </w:r>
            <w:r>
              <w:t>. Paris : UNESCO.</w:t>
            </w:r>
          </w:p>
          <w:p w14:paraId="7486BFB2" w14:textId="77777777" w:rsidR="00E409EE" w:rsidRDefault="00093D5F">
            <w:pPr>
              <w:spacing w:after="0"/>
              <w:ind w:left="60"/>
            </w:pPr>
            <w:r>
              <w:t xml:space="preserve">Geffroy, M-T. et Gautier-Moulin, P. (2013). </w:t>
            </w:r>
            <w:r>
              <w:rPr>
                <w:i/>
              </w:rPr>
              <w:t>L'Illettrisme : mieux comprendre pour mieux agir</w:t>
            </w:r>
            <w:r>
              <w:t>. Toulouse : Les Essentiels Milan</w:t>
            </w:r>
          </w:p>
          <w:p w14:paraId="7074FF14" w14:textId="77777777" w:rsidR="00E409EE" w:rsidRDefault="00093D5F">
            <w:pPr>
              <w:spacing w:after="0" w:line="276" w:lineRule="auto"/>
              <w:ind w:left="60"/>
            </w:pPr>
            <w:r>
              <w:t xml:space="preserve">Lahire, B. (2005). </w:t>
            </w:r>
            <w:r>
              <w:rPr>
                <w:i/>
              </w:rPr>
              <w:t>L'invent</w:t>
            </w:r>
            <w:r>
              <w:rPr>
                <w:i/>
              </w:rPr>
              <w:t>ion de l'illettrisme : rhétorique publique, éthique et stigmates</w:t>
            </w:r>
            <w:r>
              <w:t>. Paris : La Découverte.</w:t>
            </w:r>
          </w:p>
          <w:p w14:paraId="536AA65D" w14:textId="77777777" w:rsidR="00E409EE" w:rsidRDefault="00093D5F">
            <w:pPr>
              <w:spacing w:after="0" w:line="276" w:lineRule="auto"/>
              <w:ind w:left="60"/>
              <w:rPr>
                <w:i/>
              </w:rPr>
            </w:pPr>
            <w:r>
              <w:t xml:space="preserve">Pelletier, L. (2013) « Des médiations à l'indépendance en production de textes : le cas des centres de lecture-écriture de La Réunion ». </w:t>
            </w:r>
            <w:r>
              <w:rPr>
                <w:i/>
              </w:rPr>
              <w:t>Spirale-e : http://spirale-ed</w:t>
            </w:r>
            <w:r>
              <w:rPr>
                <w:i/>
              </w:rPr>
              <w:t>u-revue.fr/spip.php?breve20</w:t>
            </w:r>
          </w:p>
          <w:p w14:paraId="3D7D209E" w14:textId="77777777" w:rsidR="00E409EE" w:rsidRDefault="00093D5F">
            <w:pPr>
              <w:spacing w:after="0" w:line="276" w:lineRule="auto"/>
              <w:ind w:left="60"/>
            </w:pPr>
            <w:r>
              <w:t xml:space="preserve">Pelletier, L. (2007) « Comment donner le goût de lire », </w:t>
            </w:r>
            <w:r>
              <w:rPr>
                <w:i/>
              </w:rPr>
              <w:t>Expressions n°30</w:t>
            </w:r>
            <w:r>
              <w:t>, 11-28.</w:t>
            </w:r>
          </w:p>
        </w:tc>
        <w:tc>
          <w:tcPr>
            <w:tcW w:w="215" w:type="dxa"/>
            <w:tcBorders>
              <w:top w:val="nil"/>
              <w:left w:val="nil"/>
              <w:bottom w:val="nil"/>
              <w:right w:val="nil"/>
            </w:tcBorders>
            <w:shd w:val="clear" w:color="auto" w:fill="auto"/>
            <w:tcMar>
              <w:top w:w="100" w:type="dxa"/>
              <w:left w:w="100" w:type="dxa"/>
              <w:bottom w:w="100" w:type="dxa"/>
              <w:right w:w="100" w:type="dxa"/>
            </w:tcMar>
          </w:tcPr>
          <w:p w14:paraId="04591748" w14:textId="77777777" w:rsidR="00E409EE" w:rsidRDefault="00E409EE">
            <w:pPr>
              <w:ind w:left="60"/>
            </w:pPr>
          </w:p>
        </w:tc>
      </w:tr>
      <w:tr w:rsidR="00E409EE" w14:paraId="4633B0E7"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8B94A0F"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75AEC9B" w14:textId="77777777" w:rsidR="00E409EE" w:rsidRDefault="00E409EE">
            <w:pPr>
              <w:ind w:left="60"/>
            </w:pPr>
          </w:p>
        </w:tc>
      </w:tr>
      <w:tr w:rsidR="00E409EE" w14:paraId="27D157CA"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8166968"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ED68C4E" w14:textId="77777777" w:rsidR="00E409EE" w:rsidRDefault="00E409EE">
            <w:pPr>
              <w:ind w:left="60"/>
            </w:pPr>
          </w:p>
        </w:tc>
      </w:tr>
      <w:tr w:rsidR="00E409EE" w14:paraId="0EF23B8D"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2521B6DA"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9709434" w14:textId="77777777" w:rsidR="00E409EE" w:rsidRDefault="00E409EE">
            <w:pPr>
              <w:ind w:left="60"/>
            </w:pPr>
          </w:p>
        </w:tc>
      </w:tr>
      <w:tr w:rsidR="00E409EE" w14:paraId="541B7522"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DE34D96" w14:textId="77777777" w:rsidR="00E409EE" w:rsidRDefault="00E409EE">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4246AA2" w14:textId="77777777" w:rsidR="00E409EE" w:rsidRDefault="00E409EE">
            <w:pPr>
              <w:ind w:left="60"/>
            </w:pPr>
          </w:p>
        </w:tc>
      </w:tr>
    </w:tbl>
    <w:p w14:paraId="3C69809A" w14:textId="77777777" w:rsidR="00E409EE" w:rsidRDefault="00093D5F">
      <w:r>
        <w:t xml:space="preserve"> </w:t>
      </w:r>
    </w:p>
    <w:p w14:paraId="36777953" w14:textId="77777777" w:rsidR="00E409EE" w:rsidRDefault="00E409EE">
      <w:pPr>
        <w:rPr>
          <w:rFonts w:ascii="Arial" w:eastAsia="Arial" w:hAnsi="Arial" w:cs="Arial"/>
        </w:rPr>
      </w:pPr>
    </w:p>
    <w:sectPr w:rsidR="00E409EE">
      <w:headerReference w:type="default" r:id="rId6"/>
      <w:pgSz w:w="11906" w:h="16838"/>
      <w:pgMar w:top="454" w:right="454" w:bottom="289" w:left="45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C889" w14:textId="77777777" w:rsidR="00093D5F" w:rsidRDefault="00093D5F">
      <w:pPr>
        <w:spacing w:after="0" w:line="240" w:lineRule="auto"/>
      </w:pPr>
      <w:r>
        <w:separator/>
      </w:r>
    </w:p>
  </w:endnote>
  <w:endnote w:type="continuationSeparator" w:id="0">
    <w:p w14:paraId="655D5823" w14:textId="77777777" w:rsidR="00093D5F" w:rsidRDefault="0009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4D82" w14:textId="77777777" w:rsidR="00093D5F" w:rsidRDefault="00093D5F">
      <w:pPr>
        <w:spacing w:after="0" w:line="240" w:lineRule="auto"/>
      </w:pPr>
      <w:r>
        <w:separator/>
      </w:r>
    </w:p>
  </w:footnote>
  <w:footnote w:type="continuationSeparator" w:id="0">
    <w:p w14:paraId="6F08DC23" w14:textId="77777777" w:rsidR="00093D5F" w:rsidRDefault="00093D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CEEC" w14:textId="77777777" w:rsidR="00E409EE" w:rsidRDefault="00093D5F">
    <w:pPr>
      <w:pBdr>
        <w:top w:val="nil"/>
        <w:left w:val="nil"/>
        <w:bottom w:val="nil"/>
        <w:right w:val="nil"/>
        <w:between w:val="nil"/>
      </w:pBdr>
      <w:tabs>
        <w:tab w:val="center" w:pos="4536"/>
        <w:tab w:val="right" w:pos="9072"/>
      </w:tabs>
      <w:spacing w:after="0" w:line="240" w:lineRule="auto"/>
      <w:rPr>
        <w:b/>
        <w:color w:val="000000"/>
      </w:rPr>
    </w:pPr>
    <w:r>
      <w:rPr>
        <w:b/>
        <w:color w:val="000000"/>
      </w:rPr>
      <w:t xml:space="preserve">SYLLABUS </w:t>
    </w:r>
    <w:r>
      <w:rPr>
        <w:b/>
      </w:rPr>
      <w:t>DU1PES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EE"/>
    <w:rsid w:val="00093D5F"/>
    <w:rsid w:val="001A3097"/>
    <w:rsid w:val="00E40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939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3705</Characters>
  <Application>Microsoft Macintosh Word</Application>
  <DocSecurity>0</DocSecurity>
  <Lines>30</Lines>
  <Paragraphs>8</Paragraphs>
  <ScaleCrop>false</ScaleCrop>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2019-09-30T05:38:00Z</dcterms:created>
  <dcterms:modified xsi:type="dcterms:W3CDTF">2019-09-30T05:38:00Z</dcterms:modified>
</cp:coreProperties>
</file>