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Autour de l’école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enjeux spécifiques des cycle 2 et 3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0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SIGUIER Elsa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BLANCHARD Claire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De quoi s’agit-il 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 prescrit (bulletin officiel n°30 du 26-7-2018)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la définition de ce qu’est un cycle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horaires hebdomadaires d’enseignement pour chaque cycle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les enjeux académiques et psychosociaux des deux cycles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Quelles intentions ?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Mettre en relief ce qu’on peut attendre 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D’un enfant de 6 ans (au cycle 2), au niveau des savoirs académiques et des compétences psycho-sociales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D’un enfant de 9 ans (au cycle 3), au niveau des savoirs académiques et des compétences psycho-sociales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 professeur, au niveau de ses postures et de ses gestes professionnels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la didactique, au niveau du concept de progression spiralaire aux cycles 2 et 3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Comprendre la fonction d’un cycle à l’école élémentaire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Comprendre les spécificités et les invariants des cycles 2 et 3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Adapter son enseignement en fonction du cycle dans lequel se trouvent les élèves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Référentiel de compétences communes à tous les professeurs et personnels d’éducation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3- Connaître les élèves et les processus d’apprentissage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 Accompagner les élèves dans leur parcours de formation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P1- Maîtriser les savoirs disciplinaires et leur didactique : Situer les repères fondamentaux, les enjeux épistémologiques et les problèmes didactiques des domaines d’enseignement.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P3- Construire, mettre en œuvre et animer des situations d’enseignement et d’apprentissage prenant en compte la diversité des élèves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P4- Organiser et assurer un mode de fonctionnement du groupe favorisant l’apprentissage et la socialisation des élèves 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évalué dans l’écrit réflexif</w:t>
            </w:r>
          </w:p>
        </w:tc>
      </w:tr>
      <w:tr>
        <w:trPr>
          <w:trHeight w:val="7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pStyle w:val="Heading1"/>
              <w:spacing w:after="0" w:before="0" w:lineRule="auto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L'éducation psycho-sociale à l’école : enjeux et pratiques -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Collectif École -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Changer de cap (France) - Chronique sociale - 2014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Style w:val="Heading1"/>
              <w:spacing w:after="0" w:before="0" w:lineRule="auto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Le système éducatif français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Jean-Louis Auduc - Nathan - 2016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Style w:val="Heading1"/>
              <w:spacing w:after="0" w:before="0" w:lineRule="auto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L'é</w:t>
            </w:r>
            <w:r w:rsidDel="00000000" w:rsidR="00000000" w:rsidRPr="00000000">
              <w:rPr>
                <w:color w:val="32322f"/>
                <w:sz w:val="20"/>
                <w:szCs w:val="20"/>
                <w:rtl w:val="0"/>
              </w:rPr>
              <w:t xml:space="preserve">cole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Julie Maurice </w:t>
            </w: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2322f"/>
                <w:sz w:val="20"/>
                <w:szCs w:val="20"/>
                <w:rtl w:val="0"/>
              </w:rPr>
              <w:t xml:space="preserve">Bréal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Style w:val="Heading1"/>
              <w:spacing w:after="0" w:before="0" w:lineRule="auto"/>
              <w:rPr>
                <w:rFonts w:ascii="Arial" w:cs="Arial" w:eastAsia="Arial" w:hAnsi="Arial"/>
                <w:color w:val="32322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22f"/>
                <w:sz w:val="20"/>
                <w:szCs w:val="20"/>
                <w:rtl w:val="0"/>
              </w:rPr>
              <w:t xml:space="preserve">Quand l'école prétend préparer à la vie... : développer des compétences ou enseigner d'autres savoirs ?</w:t>
            </w:r>
          </w:p>
          <w:p w:rsidR="00000000" w:rsidDel="00000000" w:rsidP="00000000" w:rsidRDefault="00000000" w:rsidRPr="00000000" w14:paraId="00000137">
            <w:pPr>
              <w:pStyle w:val="Heading2"/>
              <w:spacing w:after="0" w:before="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Philippe Perrenoud (1944-...) - ESF – 2016</w:t>
            </w:r>
          </w:p>
          <w:p w:rsidR="00000000" w:rsidDel="00000000" w:rsidP="00000000" w:rsidRDefault="00000000" w:rsidRPr="00000000" w14:paraId="00000138">
            <w:pPr>
              <w:pStyle w:val="Heading2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Les postures enseignantes 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u w:val="single"/>
                  <w:rtl w:val="0"/>
                </w:rPr>
                <w:t xml:space="preserve">http://neo.ens-lyon.fr/neo/formation/analyse/les-postures-enseignantes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rtl w:val="0"/>
              </w:rPr>
              <w:t xml:space="preserve">Le pari de l’éducabilité- Philippe Merieux 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19"/>
                  <w:szCs w:val="19"/>
                  <w:u w:val="single"/>
                  <w:rtl w:val="0"/>
                </w:rPr>
                <w:t xml:space="preserve">https://www.youtube.com/watch?v=ugocCSf74r4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Style w:val="Heading2"/>
              <w:spacing w:after="0" w:before="0" w:lineRule="auto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2322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eo.ens-lyon.fr/neo/formation/analyse/les-postures-enseignantes" TargetMode="External"/><Relationship Id="rId7" Type="http://schemas.openxmlformats.org/officeDocument/2006/relationships/hyperlink" Target="https://www.youtube.com/watch?v=ugocCSf74r4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