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303F" w14:textId="77777777" w:rsidR="00A74D97" w:rsidRDefault="00A74D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054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1814"/>
        <w:gridCol w:w="1110"/>
        <w:gridCol w:w="1353"/>
        <w:gridCol w:w="1461"/>
        <w:gridCol w:w="1250"/>
        <w:gridCol w:w="1357"/>
        <w:gridCol w:w="1353"/>
        <w:gridCol w:w="1356"/>
      </w:tblGrid>
      <w:tr w:rsidR="00A74D97" w14:paraId="607BE0D7" w14:textId="77777777">
        <w:trPr>
          <w:trHeight w:val="3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bottom"/>
          </w:tcPr>
          <w:p w14:paraId="0AE3CEA9" w14:textId="77777777" w:rsidR="00A74D97" w:rsidRDefault="004B6A84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IDENTIFICATION DU COURS : EPS</w:t>
            </w:r>
            <w:bookmarkStart w:id="0" w:name="_GoBack"/>
            <w:bookmarkEnd w:id="0"/>
          </w:p>
        </w:tc>
      </w:tr>
      <w:tr w:rsidR="00A74D97" w14:paraId="2BC05EB4" w14:textId="77777777">
        <w:trPr>
          <w:trHeight w:val="300"/>
        </w:trPr>
        <w:tc>
          <w:tcPr>
            <w:tcW w:w="8346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81D5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Intitulé : Construire des situations d’apprentissage en prenant en compte la diversité des élèves. S’engager dans une démarche de développement professionnelle en EPS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A872C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Code : XNY1M16</w:t>
            </w:r>
          </w:p>
        </w:tc>
      </w:tr>
      <w:tr w:rsidR="00A74D97" w14:paraId="7FC718C5" w14:textId="77777777">
        <w:trPr>
          <w:trHeight w:val="280"/>
        </w:trPr>
        <w:tc>
          <w:tcPr>
            <w:tcW w:w="292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FDF052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Volume horaire : 16h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F9247F" w14:textId="77777777" w:rsidR="00A74D97" w:rsidRDefault="00CD1E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…..h CM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FA0A82" w14:textId="77777777" w:rsidR="00A74D97" w:rsidRDefault="00CD1E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16h TD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1E60E" w14:textId="77777777" w:rsidR="00A74D97" w:rsidRDefault="00A74D9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39634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0F6311F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ECTS : 2</w:t>
            </w:r>
          </w:p>
        </w:tc>
      </w:tr>
      <w:tr w:rsidR="00A74D97" w14:paraId="287EF92B" w14:textId="77777777">
        <w:trPr>
          <w:trHeight w:val="280"/>
        </w:trPr>
        <w:tc>
          <w:tcPr>
            <w:tcW w:w="57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E4BB6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Responsable de l'UE : Pascal Arville</w:t>
            </w:r>
          </w:p>
        </w:tc>
        <w:tc>
          <w:tcPr>
            <w:tcW w:w="5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37B33CD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courriel : </w:t>
            </w:r>
            <w:hyperlink r:id="rId7">
              <w:r>
                <w:rPr>
                  <w:color w:val="0563C1"/>
                  <w:u w:val="single"/>
                </w:rPr>
                <w:t>pascal.arville@univ-reunion.fr</w:t>
              </w:r>
            </w:hyperlink>
            <w:r>
              <w:t xml:space="preserve"> </w:t>
            </w:r>
          </w:p>
        </w:tc>
      </w:tr>
      <w:tr w:rsidR="00A74D97" w14:paraId="09BE3FB7" w14:textId="77777777">
        <w:trPr>
          <w:trHeight w:val="280"/>
        </w:trPr>
        <w:tc>
          <w:tcPr>
            <w:tcW w:w="181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BB37" w14:textId="77777777" w:rsidR="00A74D97" w:rsidRDefault="00CD1E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Intervenants :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00998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t>Corinne Porres</w:t>
            </w:r>
          </w:p>
        </w:tc>
        <w:tc>
          <w:tcPr>
            <w:tcW w:w="5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27CD32E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courriel : </w:t>
            </w:r>
            <w:r>
              <w:rPr>
                <w:color w:val="000000"/>
              </w:rPr>
              <w:t>corinne.porres@univ-reunion.fr</w:t>
            </w:r>
          </w:p>
        </w:tc>
      </w:tr>
      <w:tr w:rsidR="00A74D97" w14:paraId="7D1F33B6" w14:textId="77777777">
        <w:trPr>
          <w:trHeight w:val="280"/>
        </w:trPr>
        <w:tc>
          <w:tcPr>
            <w:tcW w:w="18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0534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795CB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t>Katy Vandeville</w:t>
            </w:r>
          </w:p>
        </w:tc>
        <w:tc>
          <w:tcPr>
            <w:tcW w:w="5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75A453F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courriel : </w:t>
            </w:r>
            <w:r>
              <w:rPr>
                <w:color w:val="000000"/>
              </w:rPr>
              <w:t>katy.vandeville@ac-reunion.fr</w:t>
            </w:r>
          </w:p>
        </w:tc>
      </w:tr>
      <w:tr w:rsidR="00A74D97" w14:paraId="5594C881" w14:textId="77777777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C54E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1024C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Pascal Arville</w:t>
            </w:r>
          </w:p>
        </w:tc>
        <w:tc>
          <w:tcPr>
            <w:tcW w:w="5316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9209F5" w14:textId="77777777" w:rsidR="00A74D97" w:rsidRDefault="00CD1E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courriel :</w:t>
            </w:r>
            <w:r>
              <w:t xml:space="preserve"> </w:t>
            </w:r>
            <w:hyperlink r:id="rId8">
              <w:r>
                <w:rPr>
                  <w:color w:val="0563C1"/>
                  <w:u w:val="single"/>
                </w:rPr>
                <w:t>pascal.arville@univ-reunion.fr</w:t>
              </w:r>
            </w:hyperlink>
          </w:p>
        </w:tc>
      </w:tr>
      <w:tr w:rsidR="00A74D97" w14:paraId="085789FB" w14:textId="77777777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CE829" w14:textId="77777777" w:rsidR="00A74D97" w:rsidRDefault="00A74D9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4AEF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E64BA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B0C5D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61417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D9B10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26D16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FA847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4D97" w14:paraId="5A0710BA" w14:textId="77777777">
        <w:trPr>
          <w:trHeight w:val="3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21552206" w14:textId="77777777" w:rsidR="00A74D97" w:rsidRDefault="00CD1E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CONTENU PEDAGOGIQUE : </w:t>
            </w:r>
            <w:r>
              <w:rPr>
                <w:i/>
                <w:color w:val="000000"/>
                <w:sz w:val="20"/>
                <w:szCs w:val="20"/>
              </w:rPr>
              <w:t xml:space="preserve">Description du cours et principes de fonctionnement : de quoi s’agit-il ? Quelles intentions ? </w:t>
            </w:r>
          </w:p>
        </w:tc>
      </w:tr>
      <w:tr w:rsidR="00A74D97" w14:paraId="08F48827" w14:textId="77777777">
        <w:trPr>
          <w:trHeight w:val="280"/>
        </w:trPr>
        <w:tc>
          <w:tcPr>
            <w:tcW w:w="1105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99386" w14:textId="77777777" w:rsidR="00A74D97" w:rsidRDefault="00CD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 cours, pour les étudiants/stagiaires, a pour but de « vivre et faire vivre » des situations d’enseignement et d’Apprentissage pour mieux sentir, mieux comprendre donc les enjeux moteurs, cognitifs, socio-affectifs de la discipline, ce qui implique l’eng</w:t>
            </w:r>
            <w:r>
              <w:rPr>
                <w:b/>
                <w:color w:val="000000"/>
                <w:sz w:val="24"/>
                <w:szCs w:val="24"/>
              </w:rPr>
              <w:t>agement physique des étudiants/stagiaires dans toutes les APSA abordées afin :</w:t>
            </w:r>
          </w:p>
          <w:p w14:paraId="5C3D615B" w14:textId="77777777" w:rsidR="00A74D97" w:rsidRDefault="00CD1E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d’éduquer « le regard » des étudiants/stagiaires aux conduites motrices typiques des élèves, dans le but de mieux concevoir et structurer des modules d’apprentissage en EPS.</w:t>
            </w:r>
          </w:p>
          <w:p w14:paraId="39CCCC8E" w14:textId="77777777" w:rsidR="00A74D97" w:rsidRDefault="00CD1E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 </w:t>
            </w:r>
            <w:r>
              <w:rPr>
                <w:color w:val="000000"/>
                <w:sz w:val="24"/>
                <w:szCs w:val="24"/>
              </w:rPr>
              <w:t>construire des gestes professionnelles</w:t>
            </w:r>
          </w:p>
          <w:p w14:paraId="00D03E07" w14:textId="77777777" w:rsidR="00A74D97" w:rsidRDefault="00CD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Plus précisément : </w:t>
            </w:r>
          </w:p>
          <w:p w14:paraId="4FE84F3C" w14:textId="77777777" w:rsidR="00A74D97" w:rsidRDefault="00CD1E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Connaitre et/ou approfondir ses connaissances dans des Activités Physiques Sportives et Artistiques (APSA) en relation avec les objectifs et champs d’apprentissage en EPS du cycle 1 au cycle 3. Con</w:t>
            </w:r>
            <w:r>
              <w:rPr>
                <w:color w:val="000000"/>
                <w:sz w:val="24"/>
                <w:szCs w:val="24"/>
              </w:rPr>
              <w:t xml:space="preserve">naître les règles et conditions de sécurité. </w:t>
            </w:r>
          </w:p>
          <w:p w14:paraId="1E348F96" w14:textId="77777777" w:rsidR="00A74D97" w:rsidRDefault="00CD1E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Savoir construire une situation d’apprentissage et d’enseignement, la mettre en œuvre, en prévoir les évolutions à partir des observations et évaluer ses effets sur les élèves. Savoir la situer dans un module d’apprentissage.</w:t>
            </w:r>
          </w:p>
          <w:p w14:paraId="617523D0" w14:textId="77777777" w:rsidR="00A74D97" w:rsidRDefault="00CD1E6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Savoir construire un module d’apprentissage.</w:t>
            </w:r>
          </w:p>
          <w:p w14:paraId="65EBD6D9" w14:textId="77777777" w:rsidR="00A74D97" w:rsidRDefault="00CD1E6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Concevoir domaines et compétences en EPS dans un cadre transversal. Etablir des liens interdisciplinaires.</w:t>
            </w:r>
          </w:p>
          <w:p w14:paraId="239E3F71" w14:textId="77777777" w:rsidR="00A74D97" w:rsidRDefault="00A74D97">
            <w:pPr>
              <w:spacing w:after="0" w:line="240" w:lineRule="auto"/>
              <w:rPr>
                <w:color w:val="000000"/>
              </w:rPr>
            </w:pPr>
          </w:p>
        </w:tc>
      </w:tr>
      <w:tr w:rsidR="00A74D97" w14:paraId="3ABF890B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7F931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560C14D4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94655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7F2B07D5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DCB6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7A1F1153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86ECA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3720C977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8841B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74BFA5D3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DA2E8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59C4F176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9801E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287DDBA5" w14:textId="77777777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031BA" w14:textId="77777777" w:rsidR="00A74D97" w:rsidRDefault="00A74D9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0A20F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5EC19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F3BF8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C7E79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CB895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1F0B0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B717E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4D97" w14:paraId="25B30960" w14:textId="77777777">
        <w:trPr>
          <w:trHeight w:val="3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7F601FDB" w14:textId="77777777" w:rsidR="00A74D97" w:rsidRDefault="00CD1E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Objectifs : </w:t>
            </w:r>
          </w:p>
        </w:tc>
      </w:tr>
      <w:tr w:rsidR="00A74D97" w14:paraId="6C854DF4" w14:textId="77777777">
        <w:trPr>
          <w:trHeight w:val="300"/>
        </w:trPr>
        <w:tc>
          <w:tcPr>
            <w:tcW w:w="1105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7B623E" w14:textId="77777777" w:rsidR="00A74D97" w:rsidRDefault="00CD1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Etre capable d’organiser son corpus de connaissances, d’identifier les enjeux de formation des objectifs en cycle 1, des champs d’apprentissage en cycles 2 et 3 et des APSA supports à partir des situations vécues lors des TD, des documents didactiques (liv</w:t>
            </w:r>
            <w:r>
              <w:rPr>
                <w:color w:val="000000"/>
                <w:sz w:val="24"/>
                <w:szCs w:val="24"/>
              </w:rPr>
              <w:t xml:space="preserve">rets) et institutionnels. </w:t>
            </w:r>
          </w:p>
          <w:p w14:paraId="7874D177" w14:textId="77777777" w:rsidR="00A74D97" w:rsidRDefault="00CD1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Etre capable de concevoir une situation et ses évolutions, de la faire vivre dans le cadre du TD, et prévoir la gestion des groupes, des espaces…</w:t>
            </w:r>
          </w:p>
          <w:p w14:paraId="3494C67B" w14:textId="77777777" w:rsidR="00A74D97" w:rsidRDefault="00CD1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Etre capable de comprendre les enjeux de la verbalisation, de s’exprimer clairement</w:t>
            </w:r>
            <w:r>
              <w:rPr>
                <w:color w:val="000000"/>
                <w:sz w:val="24"/>
                <w:szCs w:val="24"/>
              </w:rPr>
              <w:t xml:space="preserve"> et précisément (langage enseignant/ langage élève)</w:t>
            </w:r>
          </w:p>
          <w:p w14:paraId="4A8F2716" w14:textId="77777777" w:rsidR="00A74D97" w:rsidRDefault="00CD1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Etre capable d’observer et interpréter les conduites motrices typiques des élèves dans chacune des APSA pour utiliser au mieux les variables didactiques qui permettent de simplifier,  complexifier et fair</w:t>
            </w:r>
            <w:r>
              <w:rPr>
                <w:color w:val="000000"/>
                <w:sz w:val="24"/>
                <w:szCs w:val="24"/>
              </w:rPr>
              <w:t>e évoluer une situation en relation avec le ou les objectifs poursuivis</w:t>
            </w:r>
          </w:p>
          <w:p w14:paraId="70DB5EFD" w14:textId="77777777" w:rsidR="00A74D97" w:rsidRDefault="00CD1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Etre capable d’établir des liens transversaux avec les autres disciplines en particulier la maîtrise du langage, l’éducation à la santé et à la sécurité…</w:t>
            </w:r>
          </w:p>
          <w:p w14:paraId="2AD8149C" w14:textId="77777777" w:rsidR="00A74D97" w:rsidRDefault="00CD1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Utiliser différents médias pou</w:t>
            </w:r>
            <w:r>
              <w:rPr>
                <w:color w:val="000000"/>
                <w:sz w:val="24"/>
                <w:szCs w:val="24"/>
              </w:rPr>
              <w:t>r repérer et identifier les conduites motrices des élèves (fiches d’observation, vidéo…)</w:t>
            </w:r>
          </w:p>
          <w:p w14:paraId="3E9B7286" w14:textId="77777777" w:rsidR="00A74D97" w:rsidRDefault="00A74D97">
            <w:pPr>
              <w:spacing w:after="0" w:line="240" w:lineRule="auto"/>
              <w:rPr>
                <w:color w:val="000000"/>
              </w:rPr>
            </w:pPr>
          </w:p>
        </w:tc>
      </w:tr>
      <w:tr w:rsidR="00A74D97" w14:paraId="6453EBCA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0C6A39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729EE124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89917C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5210D5E7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300A88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4E763D0E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EAD83B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A74D97" w14:paraId="0EEDB5D8" w14:textId="77777777">
        <w:trPr>
          <w:trHeight w:val="3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29111209" w14:textId="77777777" w:rsidR="00A74D97" w:rsidRDefault="00CD1E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Compétences acquises : </w:t>
            </w:r>
            <w:r>
              <w:rPr>
                <w:i/>
                <w:color w:val="000000"/>
              </w:rPr>
              <w:t xml:space="preserve">De quoi – les étudiants - devront-ils être capables à la fin du cours ? </w:t>
            </w:r>
          </w:p>
        </w:tc>
      </w:tr>
      <w:tr w:rsidR="00A74D97" w14:paraId="7B26E00E" w14:textId="77777777">
        <w:trPr>
          <w:trHeight w:val="440"/>
        </w:trPr>
        <w:tc>
          <w:tcPr>
            <w:tcW w:w="1105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65D963" w14:textId="77777777" w:rsidR="00A74D97" w:rsidRDefault="00CD1E62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C3. Connaître les élèves et les processus d'apprentissage</w:t>
            </w:r>
          </w:p>
          <w:p w14:paraId="6E519476" w14:textId="77777777" w:rsidR="00A74D97" w:rsidRDefault="00CD1E6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Connaître les concepts fondamentaux de la psychologie de l'enfant, de l'adolescent et du jeune adulte.</w:t>
            </w:r>
          </w:p>
          <w:p w14:paraId="4AB9697A" w14:textId="77777777" w:rsidR="00A74D97" w:rsidRDefault="00CD1E62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C4. Prendre en compte la diversité des élèves</w:t>
            </w:r>
          </w:p>
          <w:p w14:paraId="46105BD7" w14:textId="77777777" w:rsidR="00A74D97" w:rsidRDefault="00CD1E6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Adapter son enseignement et son action éducative à la diversité des élèves.</w:t>
            </w:r>
          </w:p>
          <w:p w14:paraId="7CA01DDE" w14:textId="77777777" w:rsidR="00A74D97" w:rsidRDefault="00CD1E62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 1. Maîtriser les savoirs </w:t>
            </w:r>
            <w:r>
              <w:rPr>
                <w:b/>
                <w:sz w:val="24"/>
                <w:szCs w:val="24"/>
              </w:rPr>
              <w:t>disciplinaires et leur didactique</w:t>
            </w:r>
          </w:p>
          <w:p w14:paraId="25A6DAE4" w14:textId="77777777" w:rsidR="00A74D97" w:rsidRDefault="00CD1E6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Connaître de manière approfondie sa discipline ou ses domaines d'enseignement. En situer les repères fondamentaux, les enjeux épistémologiques et les problèmes didactiques.</w:t>
            </w:r>
          </w:p>
          <w:p w14:paraId="0D281F71" w14:textId="77777777" w:rsidR="00A74D97" w:rsidRDefault="00CD1E62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 3. Construire, mettre en œuvre et animer des </w:t>
            </w:r>
            <w:r>
              <w:rPr>
                <w:b/>
                <w:sz w:val="24"/>
                <w:szCs w:val="24"/>
              </w:rPr>
              <w:t>situations d'enseignement et d'apprentissage prenant en compte la diversité des élèves</w:t>
            </w:r>
          </w:p>
          <w:p w14:paraId="574AF7E2" w14:textId="77777777" w:rsidR="00A74D97" w:rsidRDefault="00CD1E6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Savoir préparer les séquences de classe et, pour cela, définir des programmations et des progressions ; identifier les objectifs, contenus, dispositifs, obstacles dida</w:t>
            </w:r>
            <w:r>
              <w:rPr>
                <w:color w:val="000000"/>
                <w:sz w:val="24"/>
                <w:szCs w:val="24"/>
              </w:rPr>
              <w:t>ctiques, stratégies d'étayage, modalités d'entraînement et d'évaluation.</w:t>
            </w:r>
          </w:p>
          <w:p w14:paraId="72147E07" w14:textId="77777777" w:rsidR="00A74D97" w:rsidRDefault="00CD1E6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Favoriser l'intégration de compétences transversales (créativité, responsabilité, collaboration) et le transfert des apprentissages par des démarches appropriées.</w:t>
            </w:r>
          </w:p>
          <w:p w14:paraId="1733C616" w14:textId="77777777" w:rsidR="00A74D97" w:rsidRDefault="00CD1E62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 5. Évaluer les p</w:t>
            </w:r>
            <w:r>
              <w:rPr>
                <w:b/>
                <w:sz w:val="24"/>
                <w:szCs w:val="24"/>
              </w:rPr>
              <w:t>rogrès et les acquisitions des élèves</w:t>
            </w:r>
          </w:p>
          <w:p w14:paraId="3842F111" w14:textId="77777777" w:rsidR="00A74D97" w:rsidRDefault="00A74D97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74D97" w14:paraId="3138A8C1" w14:textId="77777777">
        <w:trPr>
          <w:trHeight w:val="30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6E72D9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74D97" w14:paraId="7AB8E27F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AEB73F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74D97" w14:paraId="2C46F414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D61095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74D97" w14:paraId="7ACB7306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0E75D6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74D97" w14:paraId="66896175" w14:textId="77777777">
        <w:trPr>
          <w:trHeight w:val="440"/>
        </w:trPr>
        <w:tc>
          <w:tcPr>
            <w:tcW w:w="1105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0896AD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74D97" w14:paraId="48404113" w14:textId="77777777">
        <w:trPr>
          <w:trHeight w:val="3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3F6CB3F3" w14:textId="77777777" w:rsidR="00A74D97" w:rsidRDefault="00CD1E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Modalités d'évaluation des connaissances et des compétences</w:t>
            </w:r>
          </w:p>
        </w:tc>
      </w:tr>
      <w:tr w:rsidR="00A74D97" w14:paraId="4599F8E5" w14:textId="77777777">
        <w:trPr>
          <w:trHeight w:val="300"/>
        </w:trPr>
        <w:tc>
          <w:tcPr>
            <w:tcW w:w="573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0D60E6" w14:textId="77777777" w:rsidR="00A74D97" w:rsidRDefault="00CD1E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>ère</w:t>
            </w:r>
            <w:r>
              <w:rPr>
                <w:color w:val="000000"/>
                <w:sz w:val="24"/>
                <w:szCs w:val="24"/>
              </w:rPr>
              <w:t xml:space="preserve"> session :</w:t>
            </w:r>
          </w:p>
          <w:p w14:paraId="704B4014" w14:textId="77777777" w:rsidR="00A74D97" w:rsidRDefault="00CD1E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Évalué dans l’écrit réflexif.</w:t>
            </w:r>
          </w:p>
        </w:tc>
        <w:tc>
          <w:tcPr>
            <w:tcW w:w="531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1E62805" w14:textId="77777777" w:rsidR="00A74D97" w:rsidRDefault="00CD1E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color w:val="000000"/>
                <w:sz w:val="24"/>
                <w:szCs w:val="24"/>
              </w:rPr>
              <w:t xml:space="preserve"> session :</w:t>
            </w:r>
          </w:p>
        </w:tc>
      </w:tr>
      <w:tr w:rsidR="00A74D97" w14:paraId="37C8B594" w14:textId="77777777">
        <w:trPr>
          <w:trHeight w:val="476"/>
        </w:trPr>
        <w:tc>
          <w:tcPr>
            <w:tcW w:w="5739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E420F" w14:textId="77777777" w:rsidR="00A74D97" w:rsidRDefault="00A74D97">
            <w:pPr>
              <w:rPr>
                <w:sz w:val="24"/>
                <w:szCs w:val="24"/>
              </w:rPr>
            </w:pPr>
          </w:p>
        </w:tc>
        <w:tc>
          <w:tcPr>
            <w:tcW w:w="5316" w:type="dxa"/>
            <w:gridSpan w:val="4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68FD42" w14:textId="77777777" w:rsidR="00A74D97" w:rsidRDefault="00A74D97">
            <w:pPr>
              <w:rPr>
                <w:color w:val="000000"/>
                <w:sz w:val="24"/>
                <w:szCs w:val="24"/>
              </w:rPr>
            </w:pPr>
          </w:p>
        </w:tc>
      </w:tr>
      <w:tr w:rsidR="00A74D97" w14:paraId="03687DA2" w14:textId="77777777">
        <w:trPr>
          <w:trHeight w:val="440"/>
        </w:trPr>
        <w:tc>
          <w:tcPr>
            <w:tcW w:w="57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AB81F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gridSpan w:val="4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A6506F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74D97" w14:paraId="13820116" w14:textId="77777777">
        <w:trPr>
          <w:trHeight w:val="440"/>
        </w:trPr>
        <w:tc>
          <w:tcPr>
            <w:tcW w:w="57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85204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gridSpan w:val="4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5F5D11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74D97" w14:paraId="77033A61" w14:textId="77777777">
        <w:trPr>
          <w:trHeight w:val="440"/>
        </w:trPr>
        <w:tc>
          <w:tcPr>
            <w:tcW w:w="57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06D66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gridSpan w:val="4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21DC09" w14:textId="77777777" w:rsidR="00A74D97" w:rsidRDefault="00A74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74D97" w14:paraId="1EF73C3F" w14:textId="77777777">
        <w:trPr>
          <w:trHeight w:val="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397C5" w14:textId="77777777" w:rsidR="00A74D97" w:rsidRDefault="00A74D9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23636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680B2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406A7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01448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6B8F0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1C486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D33C1" w14:textId="77777777" w:rsidR="00A74D97" w:rsidRDefault="00A7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D97" w14:paraId="5885DED5" w14:textId="77777777">
        <w:trPr>
          <w:trHeight w:val="3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0DCEFB28" w14:textId="77777777" w:rsidR="00A74D97" w:rsidRDefault="00CD1E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Ressources documentaires : </w:t>
            </w:r>
            <w:r>
              <w:rPr>
                <w:i/>
                <w:color w:val="000000"/>
              </w:rPr>
              <w:t>5 ouvrages et 3 sites internet maximum</w:t>
            </w:r>
          </w:p>
        </w:tc>
      </w:tr>
      <w:tr w:rsidR="00A74D97" w14:paraId="2467DCF7" w14:textId="77777777">
        <w:trPr>
          <w:trHeight w:val="2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27F27" w14:textId="77777777" w:rsidR="00A74D97" w:rsidRDefault="00CD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Bibliographie :</w:t>
            </w:r>
          </w:p>
          <w:p w14:paraId="1A94B29E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Livrets ESPE EPS (formateurs)</w:t>
            </w:r>
          </w:p>
          <w:p w14:paraId="55951AC2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Revue EPS</w:t>
            </w:r>
          </w:p>
          <w:p w14:paraId="543069A1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L’épreuve d’EPS au CRPE. Editions EPS, 2017, réactualisé en 2018.</w:t>
            </w:r>
          </w:p>
          <w:p w14:paraId="60512791" w14:textId="77777777" w:rsidR="00A74D97" w:rsidRDefault="00A74D97">
            <w:pPr>
              <w:spacing w:after="0" w:line="240" w:lineRule="auto"/>
              <w:ind w:left="360"/>
            </w:pPr>
          </w:p>
        </w:tc>
      </w:tr>
      <w:tr w:rsidR="00A74D97" w14:paraId="33C638DE" w14:textId="77777777">
        <w:trPr>
          <w:trHeight w:val="2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94A9CD" w14:textId="77777777" w:rsidR="00A74D97" w:rsidRDefault="00CD1E6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Sites :</w:t>
            </w:r>
          </w:p>
          <w:p w14:paraId="4542EE8C" w14:textId="77777777" w:rsidR="00A74D97" w:rsidRDefault="00CD1E6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Revue EPS : </w:t>
            </w:r>
            <w:r>
              <w:rPr>
                <w:rFonts w:ascii="Arial" w:eastAsia="Arial" w:hAnsi="Arial" w:cs="Arial"/>
                <w:color w:val="2E75B5"/>
                <w:sz w:val="24"/>
                <w:szCs w:val="24"/>
                <w:highlight w:val="white"/>
              </w:rPr>
              <w:t>www.revue-eps.com/</w:t>
            </w:r>
          </w:p>
        </w:tc>
      </w:tr>
      <w:tr w:rsidR="00A74D97" w14:paraId="3A7C9ECA" w14:textId="77777777">
        <w:trPr>
          <w:trHeight w:val="280"/>
        </w:trPr>
        <w:tc>
          <w:tcPr>
            <w:tcW w:w="110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0657A" w14:textId="77777777" w:rsidR="00A74D97" w:rsidRDefault="00CD1E6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Textes de référence :</w:t>
            </w:r>
          </w:p>
          <w:p w14:paraId="16C1E871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BO spécial no2 du 26 Mars 2015 (Ecole maternelle)</w:t>
            </w:r>
          </w:p>
          <w:p w14:paraId="27FEF8D7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Ressources maternelle 2015</w:t>
            </w:r>
          </w:p>
          <w:p w14:paraId="7B9D1603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BO spécial no11 du 26/11/2015 (Ecole élémentaire)</w:t>
            </w:r>
          </w:p>
          <w:p w14:paraId="54625CFC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Ressources eduscol</w:t>
            </w:r>
          </w:p>
          <w:p w14:paraId="5C961EF7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NOR-1720002C / Circulaire no2017-127du 22-08-2017 MEN – DGESCO A1-2 relative à l’enseignement de la natation d</w:t>
            </w:r>
            <w:r>
              <w:t>ans les premier et second degrés</w:t>
            </w:r>
          </w:p>
          <w:p w14:paraId="062EC765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Circulaire interministérielle no 2017-116 du 6-10-2017 relative à l’encadrement des APS</w:t>
            </w:r>
          </w:p>
          <w:p w14:paraId="4BA4231D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Décret no2017-766 du 4/5/2017 relatif à l’agrément des intervenants extérieurs.</w:t>
            </w:r>
          </w:p>
          <w:p w14:paraId="72E3FCED" w14:textId="77777777" w:rsidR="00A74D97" w:rsidRDefault="00CD1E62">
            <w:pPr>
              <w:numPr>
                <w:ilvl w:val="0"/>
                <w:numId w:val="2"/>
              </w:numPr>
              <w:spacing w:after="0" w:line="240" w:lineRule="auto"/>
            </w:pPr>
            <w:r>
              <w:t>Circulaire no 99-136 du 21 septembre 1999 relative à l’</w:t>
            </w:r>
            <w:r>
              <w:t>organisation des sorties scolaires dans les écoles maternelles et élémentaires publiques</w:t>
            </w:r>
          </w:p>
          <w:p w14:paraId="2F6B17CB" w14:textId="77777777" w:rsidR="00A74D97" w:rsidRDefault="00A74D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9E46F44" w14:textId="77777777" w:rsidR="00A74D97" w:rsidRDefault="00A74D97"/>
    <w:sectPr w:rsidR="00A74D97">
      <w:headerReference w:type="default" r:id="rId9"/>
      <w:pgSz w:w="11906" w:h="16838"/>
      <w:pgMar w:top="454" w:right="454" w:bottom="289" w:left="45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AB3FF" w14:textId="77777777" w:rsidR="00CD1E62" w:rsidRDefault="00CD1E62">
      <w:pPr>
        <w:spacing w:after="0" w:line="240" w:lineRule="auto"/>
      </w:pPr>
      <w:r>
        <w:separator/>
      </w:r>
    </w:p>
  </w:endnote>
  <w:endnote w:type="continuationSeparator" w:id="0">
    <w:p w14:paraId="7D7970BD" w14:textId="77777777" w:rsidR="00CD1E62" w:rsidRDefault="00CD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241F" w14:textId="77777777" w:rsidR="00CD1E62" w:rsidRDefault="00CD1E62">
      <w:pPr>
        <w:spacing w:after="0" w:line="240" w:lineRule="auto"/>
      </w:pPr>
      <w:r>
        <w:separator/>
      </w:r>
    </w:p>
  </w:footnote>
  <w:footnote w:type="continuationSeparator" w:id="0">
    <w:p w14:paraId="5B7C6CDC" w14:textId="77777777" w:rsidR="00CD1E62" w:rsidRDefault="00CD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2580" w14:textId="77777777" w:rsidR="00A74D97" w:rsidRDefault="00CD1E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SYLLABUS </w:t>
    </w:r>
    <w:r>
      <w:rPr>
        <w:b/>
      </w:rPr>
      <w:t>DU1PES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7831"/>
    <w:multiLevelType w:val="multilevel"/>
    <w:tmpl w:val="6C101B94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D51DB1"/>
    <w:multiLevelType w:val="multilevel"/>
    <w:tmpl w:val="79683062"/>
    <w:lvl w:ilvl="0">
      <w:start w:val="1"/>
      <w:numFmt w:val="bullet"/>
      <w:lvlText w:val="→"/>
      <w:lvlJc w:val="left"/>
      <w:pPr>
        <w:ind w:left="72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Libre Franklin" w:eastAsia="Libre Franklin" w:hAnsi="Libre Franklin" w:cs="Libre Franklin"/>
      </w:rPr>
    </w:lvl>
    <w:lvl w:ilvl="2">
      <w:start w:val="1"/>
      <w:numFmt w:val="bullet"/>
      <w:lvlText w:val="→"/>
      <w:lvlJc w:val="left"/>
      <w:pPr>
        <w:ind w:left="2160" w:hanging="360"/>
      </w:pPr>
      <w:rPr>
        <w:rFonts w:ascii="Libre Franklin" w:eastAsia="Libre Franklin" w:hAnsi="Libre Franklin" w:cs="Libre Franklin"/>
      </w:rPr>
    </w:lvl>
    <w:lvl w:ilvl="3">
      <w:start w:val="1"/>
      <w:numFmt w:val="bullet"/>
      <w:lvlText w:val="→"/>
      <w:lvlJc w:val="left"/>
      <w:pPr>
        <w:ind w:left="2880" w:hanging="360"/>
      </w:pPr>
      <w:rPr>
        <w:rFonts w:ascii="Libre Franklin" w:eastAsia="Libre Franklin" w:hAnsi="Libre Franklin" w:cs="Libre Franklin"/>
      </w:rPr>
    </w:lvl>
    <w:lvl w:ilvl="4">
      <w:start w:val="1"/>
      <w:numFmt w:val="bullet"/>
      <w:lvlText w:val="→"/>
      <w:lvlJc w:val="left"/>
      <w:pPr>
        <w:ind w:left="3600" w:hanging="360"/>
      </w:pPr>
      <w:rPr>
        <w:rFonts w:ascii="Libre Franklin" w:eastAsia="Libre Franklin" w:hAnsi="Libre Franklin" w:cs="Libre Franklin"/>
      </w:rPr>
    </w:lvl>
    <w:lvl w:ilvl="5">
      <w:start w:val="1"/>
      <w:numFmt w:val="bullet"/>
      <w:lvlText w:val="→"/>
      <w:lvlJc w:val="left"/>
      <w:pPr>
        <w:ind w:left="4320" w:hanging="360"/>
      </w:pPr>
      <w:rPr>
        <w:rFonts w:ascii="Libre Franklin" w:eastAsia="Libre Franklin" w:hAnsi="Libre Franklin" w:cs="Libre Franklin"/>
      </w:rPr>
    </w:lvl>
    <w:lvl w:ilvl="6">
      <w:start w:val="1"/>
      <w:numFmt w:val="bullet"/>
      <w:lvlText w:val="→"/>
      <w:lvlJc w:val="left"/>
      <w:pPr>
        <w:ind w:left="5040" w:hanging="360"/>
      </w:pPr>
      <w:rPr>
        <w:rFonts w:ascii="Libre Franklin" w:eastAsia="Libre Franklin" w:hAnsi="Libre Franklin" w:cs="Libre Franklin"/>
      </w:rPr>
    </w:lvl>
    <w:lvl w:ilvl="7">
      <w:start w:val="1"/>
      <w:numFmt w:val="bullet"/>
      <w:lvlText w:val="→"/>
      <w:lvlJc w:val="left"/>
      <w:pPr>
        <w:ind w:left="5760" w:hanging="360"/>
      </w:pPr>
      <w:rPr>
        <w:rFonts w:ascii="Libre Franklin" w:eastAsia="Libre Franklin" w:hAnsi="Libre Franklin" w:cs="Libre Franklin"/>
      </w:rPr>
    </w:lvl>
    <w:lvl w:ilvl="8">
      <w:start w:val="1"/>
      <w:numFmt w:val="bullet"/>
      <w:lvlText w:val="→"/>
      <w:lvlJc w:val="left"/>
      <w:pPr>
        <w:ind w:left="6480" w:hanging="360"/>
      </w:pPr>
      <w:rPr>
        <w:rFonts w:ascii="Libre Franklin" w:eastAsia="Libre Franklin" w:hAnsi="Libre Franklin" w:cs="Libre Franklin"/>
      </w:rPr>
    </w:lvl>
  </w:abstractNum>
  <w:abstractNum w:abstractNumId="2">
    <w:nsid w:val="3E2B2940"/>
    <w:multiLevelType w:val="multilevel"/>
    <w:tmpl w:val="4F387D7A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3F29A8"/>
    <w:multiLevelType w:val="multilevel"/>
    <w:tmpl w:val="7B4804EC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806FF8"/>
    <w:multiLevelType w:val="multilevel"/>
    <w:tmpl w:val="B4C22C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7"/>
    <w:rsid w:val="004B6A84"/>
    <w:rsid w:val="00A74D97"/>
    <w:rsid w:val="00C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7AE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scal.arville@univ-reunion.fr" TargetMode="External"/><Relationship Id="rId8" Type="http://schemas.openxmlformats.org/officeDocument/2006/relationships/hyperlink" Target="mailto:pascal.arville@univ-reunion.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4536</Characters>
  <Application>Microsoft Macintosh Word</Application>
  <DocSecurity>0</DocSecurity>
  <Lines>37</Lines>
  <Paragraphs>10</Paragraphs>
  <ScaleCrop>false</ScaleCrop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2019-09-30T03:59:00Z</dcterms:created>
  <dcterms:modified xsi:type="dcterms:W3CDTF">2019-09-30T03:59:00Z</dcterms:modified>
</cp:coreProperties>
</file>